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C4A7C" w:rsidR="009C7B9D" w:rsidP="009C7B9D" w:rsidRDefault="009C7B9D" w14:paraId="17E3D57B" wp14:textId="77777777">
      <w:pPr>
        <w:autoSpaceDE w:val="0"/>
        <w:autoSpaceDN w:val="0"/>
        <w:adjustRightInd w:val="0"/>
        <w:spacing w:after="113" w:line="240" w:lineRule="auto"/>
        <w:textAlignment w:val="center"/>
        <w:rPr>
          <w:rFonts w:eastAsia="Times New Roman" w:asciiTheme="majorBidi" w:hAnsiTheme="majorBidi" w:cstheme="majorBidi"/>
          <w:b/>
          <w:i/>
          <w:color w:val="000000"/>
          <w:sz w:val="24"/>
          <w:szCs w:val="24"/>
          <w:lang w:eastAsia="x-none"/>
        </w:rPr>
      </w:pPr>
      <w:r w:rsidRPr="00FC4A7C">
        <w:rPr>
          <w:rFonts w:eastAsia="Times New Roman" w:asciiTheme="majorBidi" w:hAnsiTheme="majorBidi" w:cstheme="majorBidi"/>
          <w:b/>
          <w:i/>
          <w:color w:val="000000"/>
          <w:sz w:val="24"/>
          <w:szCs w:val="24"/>
          <w:lang w:eastAsia="x-none"/>
        </w:rPr>
        <w:t>Reza Hajatpour</w:t>
      </w:r>
    </w:p>
    <w:p xmlns:wp14="http://schemas.microsoft.com/office/word/2010/wordml" w:rsidRPr="00FC4A7C" w:rsidR="009C7B9D" w:rsidP="009C7B9D" w:rsidRDefault="009C7B9D" w14:paraId="672A6659" wp14:textId="77777777">
      <w:pPr>
        <w:autoSpaceDE w:val="0"/>
        <w:autoSpaceDN w:val="0"/>
        <w:adjustRightInd w:val="0"/>
        <w:spacing w:after="113" w:line="240" w:lineRule="auto"/>
        <w:textAlignment w:val="center"/>
        <w:rPr>
          <w:rFonts w:eastAsia="Times New Roman" w:asciiTheme="majorBidi" w:hAnsiTheme="majorBidi" w:cstheme="majorBidi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FC4A7C" w:rsidR="009C7B9D" w:rsidP="009C7B9D" w:rsidRDefault="009C7B9D" w14:paraId="1209C3E7" wp14:textId="77777777">
      <w:pPr>
        <w:autoSpaceDE w:val="0"/>
        <w:autoSpaceDN w:val="0"/>
        <w:adjustRightInd w:val="0"/>
        <w:spacing w:after="113" w:line="240" w:lineRule="auto"/>
        <w:textAlignment w:val="center"/>
        <w:rPr>
          <w:rFonts w:eastAsia="Times New Roman" w:asciiTheme="majorBidi" w:hAnsiTheme="majorBidi" w:cstheme="majorBidi"/>
          <w:b/>
          <w:color w:val="000000"/>
          <w:sz w:val="24"/>
          <w:szCs w:val="24"/>
          <w:lang w:val="x-none" w:eastAsia="x-none"/>
        </w:rPr>
      </w:pPr>
      <w:r w:rsidRPr="00FC4A7C">
        <w:rPr>
          <w:rFonts w:eastAsia="Times New Roman" w:asciiTheme="majorBidi" w:hAnsiTheme="majorBidi" w:cstheme="majorBidi"/>
          <w:b/>
          <w:color w:val="000000"/>
          <w:sz w:val="24"/>
          <w:szCs w:val="24"/>
          <w:lang w:val="x-none" w:eastAsia="x-none"/>
        </w:rPr>
        <w:t>Veröffentlichungen</w:t>
      </w:r>
    </w:p>
    <w:p xmlns:wp14="http://schemas.microsoft.com/office/word/2010/wordml" w:rsidRPr="00F648E0" w:rsidR="009C7B9D" w:rsidP="009C7B9D" w:rsidRDefault="009C7B9D" w14:paraId="0A37501D" wp14:textId="7777777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 w:asciiTheme="majorBidi" w:hAnsiTheme="majorBidi" w:cstheme="majorBidi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FC4A7C" w:rsidR="009C7B9D" w:rsidP="009C7B9D" w:rsidRDefault="009C7B9D" w14:paraId="27B478F2" wp14:textId="7777777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 w:asciiTheme="majorBidi" w:hAnsiTheme="majorBidi" w:cstheme="majorBidi"/>
          <w:b/>
          <w:color w:val="000000"/>
          <w:sz w:val="24"/>
          <w:szCs w:val="24"/>
          <w:lang w:eastAsia="x-none"/>
        </w:rPr>
      </w:pPr>
      <w:r w:rsidRPr="00FC4A7C">
        <w:rPr>
          <w:rFonts w:eastAsia="Times New Roman" w:asciiTheme="majorBidi" w:hAnsiTheme="majorBidi" w:cstheme="majorBidi"/>
          <w:b/>
          <w:color w:val="000000"/>
          <w:sz w:val="24"/>
          <w:szCs w:val="24"/>
          <w:lang w:val="x-none" w:eastAsia="x-none"/>
        </w:rPr>
        <w:t>Monographien</w:t>
      </w:r>
      <w:r w:rsidRPr="00FC4A7C">
        <w:rPr>
          <w:rFonts w:eastAsia="Times New Roman" w:asciiTheme="majorBidi" w:hAnsiTheme="majorBidi" w:cstheme="majorBidi"/>
          <w:b/>
          <w:color w:val="000000"/>
          <w:sz w:val="24"/>
          <w:szCs w:val="24"/>
          <w:lang w:eastAsia="x-none"/>
        </w:rPr>
        <w:t>:</w:t>
      </w:r>
    </w:p>
    <w:p xmlns:wp14="http://schemas.microsoft.com/office/word/2010/wordml" w:rsidRPr="00FC4A7C" w:rsidR="009C7B9D" w:rsidP="009C7B9D" w:rsidRDefault="009C7B9D" w14:paraId="5DAB6C7B" wp14:textId="77777777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FC4A7C" w:rsidR="009C7B9D" w:rsidP="009C7B9D" w:rsidRDefault="009C7B9D" w14:paraId="5BC41703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</w:pPr>
      <w:r w:rsidRPr="00FC4A7C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>Reza Hajatpour: Iranische Geistlichkeit zwischen Utopie und Realismus. Zum Diskurs über Herrschafts- und Staatsdenken im 20. Jahrhundert. Reichert Verlag</w:t>
      </w:r>
      <w:r w:rsidRPr="00FC4A7C">
        <w:rPr>
          <w:rFonts w:eastAsia="Times New Roman" w:asciiTheme="majorBidi" w:hAnsiTheme="majorBidi" w:cstheme="majorBidi"/>
          <w:color w:val="000000"/>
          <w:sz w:val="24"/>
          <w:szCs w:val="24"/>
          <w:lang w:eastAsia="x-none"/>
        </w:rPr>
        <w:t xml:space="preserve">. </w:t>
      </w:r>
      <w:r w:rsidRPr="00FC4A7C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>Wiesbaden</w:t>
      </w:r>
      <w:r w:rsidRPr="00FC4A7C">
        <w:rPr>
          <w:rFonts w:eastAsia="Times New Roman" w:asciiTheme="majorBidi" w:hAnsiTheme="majorBidi" w:cstheme="majorBidi"/>
          <w:color w:val="000000"/>
          <w:sz w:val="24"/>
          <w:szCs w:val="24"/>
          <w:lang w:eastAsia="x-none"/>
        </w:rPr>
        <w:t>.</w:t>
      </w:r>
      <w:r w:rsidRPr="00FC4A7C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 2002.</w:t>
      </w:r>
    </w:p>
    <w:p xmlns:wp14="http://schemas.microsoft.com/office/word/2010/wordml" w:rsidRPr="00FC4A7C" w:rsidR="009C7B9D" w:rsidP="009C7B9D" w:rsidRDefault="009C7B9D" w14:paraId="02EB378F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eastAsia="x-none"/>
        </w:rPr>
      </w:pPr>
    </w:p>
    <w:p xmlns:wp14="http://schemas.microsoft.com/office/word/2010/wordml" w:rsidRPr="00FC4A7C" w:rsidR="009C7B9D" w:rsidP="009C7B9D" w:rsidRDefault="009C7B9D" w14:paraId="1C4AF1B9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</w:pPr>
      <w:r w:rsidRPr="00FC4A7C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Reza </w:t>
      </w:r>
      <w:proofErr w:type="spellStart"/>
      <w:r w:rsidRPr="00FC4A7C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>Hajatpour</w:t>
      </w:r>
      <w:proofErr w:type="spellEnd"/>
      <w:r w:rsidRPr="00FC4A7C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: Mehdi </w:t>
      </w:r>
      <w:proofErr w:type="spellStart"/>
      <w:r w:rsidRPr="00FC4A7C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>Hairi</w:t>
      </w:r>
      <w:proofErr w:type="spellEnd"/>
      <w:r w:rsidRPr="00FC4A7C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FC4A7C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>Yazdi</w:t>
      </w:r>
      <w:proofErr w:type="spellEnd"/>
      <w:r w:rsidRPr="00FC4A7C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 interkulturell gelesen. Nordhausen</w:t>
      </w:r>
      <w:r w:rsidRPr="00FC4A7C">
        <w:rPr>
          <w:rFonts w:eastAsia="Times New Roman" w:asciiTheme="majorBidi" w:hAnsiTheme="majorBidi" w:cstheme="majorBidi"/>
          <w:color w:val="000000"/>
          <w:sz w:val="24"/>
          <w:szCs w:val="24"/>
          <w:lang w:eastAsia="x-none"/>
        </w:rPr>
        <w:t>.</w:t>
      </w:r>
      <w:r w:rsidRPr="00FC4A7C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 2005. </w:t>
      </w:r>
    </w:p>
    <w:p xmlns:wp14="http://schemas.microsoft.com/office/word/2010/wordml" w:rsidRPr="00FC4A7C" w:rsidR="009C7B9D" w:rsidP="009C7B9D" w:rsidRDefault="009C7B9D" w14:paraId="6A05A809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b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FC4A7C" w:rsidR="00834CB7" w:rsidP="00834CB7" w:rsidRDefault="009C7B9D" w14:paraId="409C72F8" wp14:textId="77777777">
      <w:pPr>
        <w:spacing w:after="0" w:line="240" w:lineRule="auto"/>
        <w:jc w:val="both"/>
        <w:rPr>
          <w:rFonts w:eastAsia="Times New Roman" w:asciiTheme="majorBidi" w:hAnsiTheme="majorBidi" w:cstheme="majorBidi"/>
          <w:sz w:val="24"/>
          <w:szCs w:val="24"/>
          <w:lang w:eastAsia="de-DE"/>
        </w:rPr>
      </w:pPr>
      <w:r w:rsidRPr="0F966AF0" w:rsidR="0F966AF0">
        <w:rPr>
          <w:rFonts w:ascii="Times New Roman" w:hAnsi="Times New Roman" w:eastAsia="Times New Roman" w:cs="Times New Roman" w:asciiTheme="majorBidi" w:hAnsiTheme="majorBidi" w:cstheme="majorBidi"/>
          <w:sz w:val="24"/>
          <w:szCs w:val="24"/>
          <w:lang w:eastAsia="de-DE"/>
        </w:rPr>
        <w:t xml:space="preserve">Reza Hajatpour: Vom Gottesentwurf zum Selbstentwurf. Die Idee der Perfektibilität in der islamischen Existenzphilosophie. Freiburg Aufl./Jahr: 1. Aufl. 2013. </w:t>
      </w:r>
    </w:p>
    <w:p w:rsidR="0F966AF0" w:rsidP="0F966AF0" w:rsidRDefault="0F966AF0" w14:paraId="7E6B9A94" w14:textId="7EFD6B66">
      <w:pPr>
        <w:pStyle w:val="Standard"/>
        <w:spacing w:after="0" w:line="240" w:lineRule="auto"/>
        <w:jc w:val="both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</w:p>
    <w:p xmlns:wp14="http://schemas.microsoft.com/office/word/2010/wordml" w:rsidRPr="00FC4A7C" w:rsidR="00834CB7" w:rsidP="0F966AF0" w:rsidRDefault="00834CB7" w14:paraId="28C8A976" wp14:textId="7F8AE95C">
      <w:pPr>
        <w:pStyle w:val="Standard"/>
        <w:spacing w:after="0" w:line="240" w:lineRule="auto"/>
        <w:jc w:val="both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r w:rsidRPr="0F966AF0" w:rsidR="0F966AF0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Reza </w:t>
      </w:r>
      <w:proofErr w:type="spellStart"/>
      <w:r w:rsidRPr="0F966AF0" w:rsidR="0F966AF0">
        <w:rPr>
          <w:rFonts w:ascii="Times New Roman" w:hAnsi="Times New Roman" w:cs="Times New Roman" w:asciiTheme="majorBidi" w:hAnsiTheme="majorBidi" w:cstheme="majorBidi"/>
          <w:sz w:val="24"/>
          <w:szCs w:val="24"/>
        </w:rPr>
        <w:t>Hajatpour</w:t>
      </w:r>
      <w:proofErr w:type="spellEnd"/>
      <w:r w:rsidRPr="0F966AF0" w:rsidR="0F966AF0">
        <w:rPr>
          <w:rFonts w:ascii="Times New Roman" w:hAnsi="Times New Roman" w:cs="Times New Roman" w:asciiTheme="majorBidi" w:hAnsiTheme="majorBidi" w:cstheme="majorBidi"/>
          <w:sz w:val="24"/>
          <w:szCs w:val="24"/>
        </w:rPr>
        <w:t>: Sufismus und Theologie: Grenze und Grenzüberschreitung in der islamischen Glaubensdeutung. Karl Alber Verlag, Freiburg 2017.2017.</w:t>
      </w:r>
    </w:p>
    <w:p xmlns:wp14="http://schemas.microsoft.com/office/word/2010/wordml" w:rsidRPr="00FC4A7C" w:rsidR="00FC69A8" w:rsidP="00834CB7" w:rsidRDefault="00FC69A8" w14:paraId="41C8F396" wp14:textId="7777777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xmlns:wp14="http://schemas.microsoft.com/office/word/2010/wordml" w:rsidRPr="00FC4A7C" w:rsidR="00FC69A8" w:rsidP="00834CB7" w:rsidRDefault="00FC69A8" w14:paraId="72A3D3EC" wp14:textId="7777777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xmlns:wp14="http://schemas.microsoft.com/office/word/2010/wordml" w:rsidRPr="00FC4A7C" w:rsidR="00FC69A8" w:rsidP="00834CB7" w:rsidRDefault="00FC69A8" w14:paraId="6BABAFC1" wp14:textId="77777777">
      <w:pPr>
        <w:spacing w:after="0" w:line="240" w:lineRule="auto"/>
        <w:jc w:val="both"/>
        <w:rPr>
          <w:rFonts w:eastAsia="Times New Roman" w:asciiTheme="majorBidi" w:hAnsiTheme="majorBidi" w:cstheme="majorBidi"/>
          <w:b/>
          <w:bCs/>
          <w:sz w:val="24"/>
          <w:szCs w:val="24"/>
          <w:lang w:eastAsia="de-DE"/>
        </w:rPr>
      </w:pPr>
      <w:r w:rsidRPr="00FC4A7C">
        <w:rPr>
          <w:rFonts w:asciiTheme="majorBidi" w:hAnsiTheme="majorBidi" w:cstheme="majorBidi"/>
          <w:b/>
          <w:bCs/>
          <w:sz w:val="24"/>
          <w:szCs w:val="24"/>
        </w:rPr>
        <w:t>Mitherausgeber</w:t>
      </w:r>
    </w:p>
    <w:p xmlns:wp14="http://schemas.microsoft.com/office/word/2010/wordml" w:rsidRPr="00FC4A7C" w:rsidR="006A77C7" w:rsidP="009C7B9D" w:rsidRDefault="006A77C7" w14:paraId="0D0B940D" wp14:textId="77777777">
      <w:pPr>
        <w:spacing w:after="0" w:line="240" w:lineRule="auto"/>
        <w:jc w:val="both"/>
        <w:rPr>
          <w:rFonts w:eastAsia="Times New Roman" w:asciiTheme="majorBidi" w:hAnsiTheme="majorBidi" w:cstheme="majorBidi"/>
          <w:sz w:val="24"/>
          <w:szCs w:val="24"/>
          <w:lang w:eastAsia="de-DE"/>
        </w:rPr>
      </w:pPr>
    </w:p>
    <w:p w:rsidR="07AC894D" w:rsidP="0F966AF0" w:rsidRDefault="07AC894D" w14:paraId="1E0AE94E" w14:textId="7AAAFF72">
      <w:pPr>
        <w:pStyle w:val="Standard"/>
        <w:spacing w:after="0"/>
        <w:jc w:val="both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r w:rsidRPr="0F966AF0" w:rsidR="0F966AF0">
        <w:rPr>
          <w:rFonts w:ascii="Times New Roman" w:hAnsi="Times New Roman" w:eastAsia="Times New Roman" w:cs="Times New Roman"/>
          <w:noProof w:val="0"/>
          <w:sz w:val="24"/>
          <w:szCs w:val="24"/>
          <w:lang w:val="de-DE"/>
        </w:rPr>
        <w:t xml:space="preserve">El </w:t>
      </w:r>
      <w:proofErr w:type="spellStart"/>
      <w:r w:rsidRPr="0F966AF0" w:rsidR="0F966AF0">
        <w:rPr>
          <w:rFonts w:ascii="Times New Roman" w:hAnsi="Times New Roman" w:eastAsia="Times New Roman" w:cs="Times New Roman"/>
          <w:noProof w:val="0"/>
          <w:sz w:val="24"/>
          <w:szCs w:val="24"/>
          <w:lang w:val="de-DE"/>
        </w:rPr>
        <w:t>Kaisy-Friemuth</w:t>
      </w:r>
      <w:proofErr w:type="spellEnd"/>
      <w:r w:rsidRPr="0F966AF0" w:rsidR="0F966AF0">
        <w:rPr>
          <w:rFonts w:ascii="Times New Roman" w:hAnsi="Times New Roman" w:eastAsia="Times New Roman" w:cs="Times New Roman"/>
          <w:noProof w:val="0"/>
          <w:sz w:val="24"/>
          <w:szCs w:val="24"/>
          <w:lang w:val="de-DE"/>
        </w:rPr>
        <w:t>, Maha/</w:t>
      </w:r>
      <w:proofErr w:type="spellStart"/>
      <w:r w:rsidRPr="0F966AF0" w:rsidR="0F966AF0">
        <w:rPr>
          <w:rFonts w:ascii="Times New Roman" w:hAnsi="Times New Roman" w:eastAsia="Times New Roman" w:cs="Times New Roman"/>
          <w:noProof w:val="0"/>
          <w:sz w:val="24"/>
          <w:szCs w:val="24"/>
          <w:lang w:val="de-DE"/>
        </w:rPr>
        <w:t>Hajatpour</w:t>
      </w:r>
      <w:proofErr w:type="spellEnd"/>
      <w:r w:rsidRPr="0F966AF0" w:rsidR="0F966AF0">
        <w:rPr>
          <w:rFonts w:ascii="Times New Roman" w:hAnsi="Times New Roman" w:eastAsia="Times New Roman" w:cs="Times New Roman"/>
          <w:noProof w:val="0"/>
          <w:sz w:val="24"/>
          <w:szCs w:val="24"/>
          <w:lang w:val="de-DE"/>
        </w:rPr>
        <w:t xml:space="preserve">, Reza/Abdel </w:t>
      </w:r>
      <w:proofErr w:type="spellStart"/>
      <w:r w:rsidRPr="0F966AF0" w:rsidR="0F966AF0">
        <w:rPr>
          <w:rFonts w:ascii="Times New Roman" w:hAnsi="Times New Roman" w:eastAsia="Times New Roman" w:cs="Times New Roman"/>
          <w:noProof w:val="0"/>
          <w:sz w:val="24"/>
          <w:szCs w:val="24"/>
          <w:lang w:val="de-DE"/>
        </w:rPr>
        <w:t>Rahem</w:t>
      </w:r>
      <w:proofErr w:type="spellEnd"/>
      <w:r w:rsidRPr="0F966AF0" w:rsidR="0F966AF0">
        <w:rPr>
          <w:rFonts w:ascii="Times New Roman" w:hAnsi="Times New Roman" w:eastAsia="Times New Roman" w:cs="Times New Roman"/>
          <w:noProof w:val="0"/>
          <w:sz w:val="24"/>
          <w:szCs w:val="24"/>
          <w:lang w:val="de-DE"/>
        </w:rPr>
        <w:t>, Mohammed: Rationalität in der Islamischen Theologie zwischen Tradition und Moderne. Die Tradition. De Gruyter, Berlin, 2020.</w:t>
      </w:r>
      <w:r w:rsidRPr="0F966AF0" w:rsidR="0F966AF0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proofErr w:type="spellStart"/>
      <w:proofErr w:type="spellEnd"/>
    </w:p>
    <w:p w:rsidR="07AC894D" w:rsidP="0F966AF0" w:rsidRDefault="07AC894D" w14:paraId="03186161" w14:textId="664AA378">
      <w:pPr>
        <w:pStyle w:val="Standard"/>
        <w:spacing w:after="0"/>
        <w:jc w:val="both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</w:p>
    <w:p w:rsidR="07AC894D" w:rsidP="0F966AF0" w:rsidRDefault="07AC894D" w14:paraId="02CE6307" w14:textId="0C67BA56">
      <w:pPr>
        <w:pStyle w:val="Standard"/>
        <w:spacing w:after="0"/>
        <w:jc w:val="both"/>
        <w:rPr>
          <w:rFonts w:ascii="Times New Roman" w:hAnsi="Times New Roman" w:cs="Times New Roman" w:asciiTheme="majorBidi" w:hAnsiTheme="majorBidi" w:cstheme="majorBidi"/>
          <w:noProof w:val="0"/>
          <w:sz w:val="24"/>
          <w:szCs w:val="24"/>
          <w:lang w:val="de-DE"/>
        </w:rPr>
      </w:pPr>
      <w:r w:rsidRPr="0F966AF0" w:rsidR="0F966AF0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El </w:t>
      </w:r>
      <w:proofErr w:type="spellStart"/>
      <w:r w:rsidRPr="0F966AF0" w:rsidR="0F966AF0">
        <w:rPr>
          <w:rFonts w:ascii="Times New Roman" w:hAnsi="Times New Roman" w:cs="Times New Roman" w:asciiTheme="majorBidi" w:hAnsiTheme="majorBidi" w:cstheme="majorBidi"/>
          <w:sz w:val="24"/>
          <w:szCs w:val="24"/>
        </w:rPr>
        <w:t>Kaisy-Friemuth</w:t>
      </w:r>
      <w:proofErr w:type="spellEnd"/>
      <w:r w:rsidRPr="0F966AF0" w:rsidR="0F966AF0">
        <w:rPr>
          <w:rFonts w:ascii="Times New Roman" w:hAnsi="Times New Roman" w:cs="Times New Roman" w:asciiTheme="majorBidi" w:hAnsiTheme="majorBidi" w:cstheme="majorBidi"/>
          <w:sz w:val="24"/>
          <w:szCs w:val="24"/>
        </w:rPr>
        <w:t>, Maha/</w:t>
      </w:r>
      <w:proofErr w:type="spellStart"/>
      <w:r w:rsidRPr="0F966AF0" w:rsidR="0F966AF0">
        <w:rPr>
          <w:rFonts w:ascii="Times New Roman" w:hAnsi="Times New Roman" w:cs="Times New Roman" w:asciiTheme="majorBidi" w:hAnsiTheme="majorBidi" w:cstheme="majorBidi"/>
          <w:sz w:val="24"/>
          <w:szCs w:val="24"/>
        </w:rPr>
        <w:t>Hajatpour</w:t>
      </w:r>
      <w:proofErr w:type="spellEnd"/>
      <w:r w:rsidRPr="0F966AF0" w:rsidR="0F966AF0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, Reza/Abdel </w:t>
      </w:r>
      <w:proofErr w:type="spellStart"/>
      <w:r w:rsidRPr="0F966AF0" w:rsidR="0F966AF0">
        <w:rPr>
          <w:rFonts w:ascii="Times New Roman" w:hAnsi="Times New Roman" w:cs="Times New Roman" w:asciiTheme="majorBidi" w:hAnsiTheme="majorBidi" w:cstheme="majorBidi"/>
          <w:sz w:val="24"/>
          <w:szCs w:val="24"/>
        </w:rPr>
        <w:t>Rahem</w:t>
      </w:r>
      <w:proofErr w:type="spellEnd"/>
      <w:r w:rsidRPr="0F966AF0" w:rsidR="0F966AF0">
        <w:rPr>
          <w:rFonts w:ascii="Times New Roman" w:hAnsi="Times New Roman" w:cs="Times New Roman" w:asciiTheme="majorBidi" w:hAnsiTheme="majorBidi" w:cstheme="majorBidi"/>
          <w:sz w:val="24"/>
          <w:szCs w:val="24"/>
        </w:rPr>
        <w:t>, Mohammed: Rationalität in der Islamischen Theologie zwischen Tradition und Moderne. Die Moderne. De Gruyter, Berlin, 2021.</w:t>
      </w:r>
    </w:p>
    <w:p xmlns:wp14="http://schemas.microsoft.com/office/word/2010/wordml" w:rsidRPr="00FC4A7C" w:rsidR="00FC4A7C" w:rsidP="07AC894D" w:rsidRDefault="00FC4A7C" w14:paraId="0E27B00A" wp14:textId="5B443437">
      <w:pPr>
        <w:pStyle w:val="Default"/>
        <w:spacing w:line="276" w:lineRule="auto"/>
        <w:jc w:val="both"/>
        <w:rPr>
          <w:rFonts w:ascii="Times New Roman" w:hAnsi="Times New Roman" w:cs="Times New Roman" w:asciiTheme="majorBidi" w:hAnsiTheme="majorBidi" w:cstheme="majorBidi"/>
          <w:color w:val="auto"/>
        </w:rPr>
      </w:pPr>
    </w:p>
    <w:p xmlns:wp14="http://schemas.microsoft.com/office/word/2010/wordml" w:rsidRPr="00FC4A7C" w:rsidR="00D66C70" w:rsidP="0289C736" w:rsidRDefault="00D66C70" w14:paraId="44FE7759" wp14:textId="1B69C218">
      <w:pPr>
        <w:pStyle w:val="Default"/>
        <w:spacing w:line="276" w:lineRule="auto"/>
        <w:jc w:val="both"/>
        <w:rPr>
          <w:rFonts w:ascii="Times New Roman" w:hAnsi="Times New Roman" w:cs="Times New Roman" w:asciiTheme="majorBidi" w:hAnsiTheme="majorBidi" w:cstheme="majorBidi"/>
          <w:color w:val="auto"/>
        </w:rPr>
      </w:pPr>
      <w:proofErr w:type="spellStart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>Hajatpour</w:t>
      </w:r>
      <w:proofErr w:type="spellEnd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>, Reza / El-</w:t>
      </w:r>
      <w:proofErr w:type="spellStart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>Kaisy</w:t>
      </w:r>
      <w:proofErr w:type="spellEnd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>-</w:t>
      </w:r>
      <w:proofErr w:type="spellStart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>Friemuth</w:t>
      </w:r>
      <w:proofErr w:type="spellEnd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 xml:space="preserve">, Maha: Tradition und Innovation – Avicenna und Mulla </w:t>
      </w:r>
      <w:proofErr w:type="spellStart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>Sadra</w:t>
      </w:r>
      <w:proofErr w:type="spellEnd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 xml:space="preserve"> im Dialog. De Gruyter, Berlin, 2021.</w:t>
      </w:r>
    </w:p>
    <w:p w:rsidR="0289C736" w:rsidP="0289C736" w:rsidRDefault="0289C736" w14:paraId="32E408B2" w14:textId="53EBF2BB">
      <w:pPr>
        <w:pStyle w:val="Default"/>
        <w:spacing w:line="276" w:lineRule="auto"/>
        <w:jc w:val="both"/>
        <w:rPr>
          <w:rFonts w:ascii="TheMixOffice" w:hAnsi="TheMixOffice" w:eastAsia="Calibri" w:cs="TheMixOffice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FC4A7C" w:rsidR="00D66C70" w:rsidP="0289C736" w:rsidRDefault="00D66C70" w14:paraId="153014BB" wp14:textId="67B9CF3B">
      <w:pPr>
        <w:pStyle w:val="Default"/>
        <w:spacing w:line="276" w:lineRule="auto"/>
        <w:jc w:val="both"/>
        <w:rPr>
          <w:rFonts w:ascii="Times New Roman" w:hAnsi="Times New Roman" w:cs="Times New Roman" w:asciiTheme="majorBidi" w:hAnsiTheme="majorBidi" w:cstheme="majorBidi"/>
          <w:color w:val="auto"/>
        </w:rPr>
      </w:pPr>
      <w:proofErr w:type="spellStart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>Hajatpour</w:t>
      </w:r>
      <w:proofErr w:type="spellEnd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 xml:space="preserve">, Reza: Mitautor an der Neubearbeitung des </w:t>
      </w:r>
      <w:proofErr w:type="spellStart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>Ueberweg</w:t>
      </w:r>
      <w:proofErr w:type="spellEnd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 xml:space="preserve"> Grundriss der Geschichte der Philosophie. Philosophie in der islamischen Welt. Im 19. und 20. Jahrhundert - Türkei, Iran und Südasien. Hrsg. Anke von Kügelgen (2021). Verlag Schwabe &amp; Co. AG in Basel. Bd. 4/2. S. 918-947; 1015:1051. </w:t>
      </w:r>
    </w:p>
    <w:p xmlns:wp14="http://schemas.microsoft.com/office/word/2010/wordml" w:rsidRPr="00FC4A7C" w:rsidR="00D66C70" w:rsidP="0289C736" w:rsidRDefault="00D66C70" w14:paraId="24018052" wp14:textId="2D8D2084">
      <w:pPr>
        <w:pStyle w:val="Default"/>
        <w:spacing w:line="276" w:lineRule="auto"/>
        <w:jc w:val="both"/>
        <w:rPr>
          <w:rFonts w:ascii="Times New Roman" w:hAnsi="Times New Roman" w:cs="Times New Roman" w:asciiTheme="majorBidi" w:hAnsiTheme="majorBidi" w:cstheme="majorBidi"/>
          <w:color w:val="auto"/>
        </w:rPr>
      </w:pPr>
    </w:p>
    <w:p xmlns:wp14="http://schemas.microsoft.com/office/word/2010/wordml" w:rsidRPr="00FC4A7C" w:rsidR="00D66C70" w:rsidP="0289C736" w:rsidRDefault="00D66C70" w14:paraId="13A21FAB" wp14:textId="42DDC9A9">
      <w:pPr>
        <w:pStyle w:val="Default"/>
        <w:spacing w:line="276" w:lineRule="auto"/>
        <w:jc w:val="both"/>
        <w:rPr>
          <w:rFonts w:ascii="Times New Roman" w:hAnsi="Times New Roman" w:cs="Times New Roman" w:asciiTheme="majorBidi" w:hAnsiTheme="majorBidi" w:cstheme="majorBidi"/>
          <w:color w:val="auto"/>
        </w:rPr>
      </w:pPr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 xml:space="preserve">Nadja Germann und Mostafa Najafi (Hrsg. 2012 Philosophy and Language in </w:t>
      </w:r>
      <w:proofErr w:type="spellStart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>the</w:t>
      </w:r>
      <w:proofErr w:type="spellEnd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 xml:space="preserve"> </w:t>
      </w:r>
      <w:proofErr w:type="spellStart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>Islamic</w:t>
      </w:r>
      <w:proofErr w:type="spellEnd"/>
      <w:r w:rsidRPr="0289C736" w:rsidR="0289C736">
        <w:rPr>
          <w:rFonts w:ascii="Times New Roman" w:hAnsi="Times New Roman" w:cs="Times New Roman" w:asciiTheme="majorBidi" w:hAnsiTheme="majorBidi" w:cstheme="majorBidi"/>
          <w:color w:val="auto"/>
        </w:rPr>
        <w:t xml:space="preserve"> World (Hrsg. von Peter Adamson, Nadja Germann, Reza Hajatpour, Ulrich Rudolph, Georges Tamer). Volume 2. Berlin. De Gruyter, 2021.</w:t>
      </w:r>
    </w:p>
    <w:p w:rsidR="0289C736" w:rsidP="0289C736" w:rsidRDefault="0289C736" w14:paraId="5B69A468" w14:textId="4487A88A">
      <w:pPr>
        <w:pStyle w:val="Default"/>
        <w:spacing w:line="276" w:lineRule="auto"/>
        <w:jc w:val="both"/>
        <w:rPr>
          <w:rFonts w:ascii="TheMixOffice" w:hAnsi="TheMixOffice" w:eastAsia="Calibri" w:cs="TheMixOffice"/>
          <w:color w:val="000000" w:themeColor="text1" w:themeTint="FF" w:themeShade="FF"/>
          <w:sz w:val="24"/>
          <w:szCs w:val="24"/>
        </w:rPr>
      </w:pPr>
    </w:p>
    <w:p w:rsidR="0289C736" w:rsidP="0289C736" w:rsidRDefault="0289C736" w14:paraId="78A113A6" w14:textId="37708083">
      <w:pPr>
        <w:pStyle w:val="Default"/>
        <w:spacing w:line="276" w:lineRule="auto"/>
        <w:jc w:val="both"/>
        <w:rPr>
          <w:rFonts w:ascii="TheMixOffice" w:hAnsi="TheMixOffice" w:eastAsia="Calibri" w:cs="TheMixOffice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F648E0" w:rsidR="009C7B9D" w:rsidP="009C7B9D" w:rsidRDefault="009C7B9D" w14:paraId="44EAFD9C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7636F9D5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  <w:r w:rsidRPr="003C2027"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  <w:t>Aufsätze und Rezensionsessays:</w:t>
      </w:r>
    </w:p>
    <w:p xmlns:wp14="http://schemas.microsoft.com/office/word/2010/wordml" w:rsidRPr="003C2027" w:rsidR="009C7B9D" w:rsidP="009C7B9D" w:rsidRDefault="009C7B9D" w14:paraId="4B94D5A5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727258D3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Reza Hajatpour: Elemente der Aufklärung in John Lockes Essays, in: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Hallische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Beiträge zur Orientwissenschaft.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Armenuhi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Drost-Abgarjan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u. Jürgen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Tubach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 xml:space="preserve"> (Hrsg.)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: Sprache, Mythen und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Mythizismen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. Festschrift für Walter Beltz zum 65. Geburtstag am 25. April 2000. Bd. II. Halle (Saale)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.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2004, S. 305-331.</w:t>
      </w:r>
    </w:p>
    <w:p xmlns:wp14="http://schemas.microsoft.com/office/word/2010/wordml" w:rsidRPr="003C2027" w:rsidR="009C7B9D" w:rsidP="009C7B9D" w:rsidRDefault="009C7B9D" w14:paraId="3DEEC669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684E0BBF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Reza Hajatpour: Identität und Anerkennung. Religiöse Erfahrung – ein Prozess der Selbstreflexion, in: UNI.VERS. Das Magazin der Otto-Friedrich-Universität Bamberg. Heft 08/ Juni 2005, S. 19-21.</w:t>
      </w:r>
    </w:p>
    <w:p xmlns:wp14="http://schemas.microsoft.com/office/word/2010/wordml" w:rsidRPr="003C2027" w:rsidR="009C7B9D" w:rsidP="009C7B9D" w:rsidRDefault="009C7B9D" w14:paraId="3656B9AB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3C2027" w:rsidR="009C7B9D" w:rsidP="009C7B9D" w:rsidRDefault="009C7B9D" w14:paraId="74806430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Reza Hajatpour: Religiöser Pluralismus. Theologisch-philosophische Beobachtungen aus der Perspektive des schiitischen Islam, in: Marianne Heimbach-Steins, Rotraud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Wielandt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und Reinhard Zintl (Hrsg.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)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: Religiöse Identität(en) und gemeinsame Religionsfreiheit. Eine Herausforderung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pluraler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Gesellschaften. Würzburg. 2006, S. 81-88.</w:t>
      </w:r>
    </w:p>
    <w:p xmlns:wp14="http://schemas.microsoft.com/office/word/2010/wordml" w:rsidRPr="003C2027" w:rsidR="009C7B9D" w:rsidP="009C7B9D" w:rsidRDefault="009C7B9D" w14:paraId="45FB0818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3C2027" w:rsidR="009C7B9D" w:rsidP="009C7B9D" w:rsidRDefault="009C7B9D" w14:paraId="3322CE7D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lastRenderedPageBreak/>
        <w:t xml:space="preserve">Reza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Hajatpour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: Die Zeitschrift “al-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QÁhira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”, in: 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„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asien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afrika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lateinamerika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”. Prof. Dr. Martin Robbe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 xml:space="preserve"> (Hrsg.):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Vol. 22. 1994, PP. 219-225.</w:t>
      </w:r>
    </w:p>
    <w:p xmlns:wp14="http://schemas.microsoft.com/office/word/2010/wordml" w:rsidRPr="003C2027" w:rsidR="009C7B9D" w:rsidP="009C7B9D" w:rsidRDefault="009C7B9D" w14:paraId="049F31CB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3C2027" w:rsidR="009C7B9D" w:rsidP="009C7B9D" w:rsidRDefault="009C7B9D" w14:paraId="5B7A6FEA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Reza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Hajatpour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: Afsaneh,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Gächter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: Elitenzirkulation in Transformationsgesellschaften. Eine soziologische Fallstudie zur Zirkulation der Eliten im Iran. Berlin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,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2004, in: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Iranian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Studies, vol. 42, 1, Februar 2009, S. 151-154.</w:t>
      </w:r>
    </w:p>
    <w:p xmlns:wp14="http://schemas.microsoft.com/office/word/2010/wordml" w:rsidRPr="003C2027" w:rsidR="009C7B9D" w:rsidP="009C7B9D" w:rsidRDefault="009C7B9D" w14:paraId="53128261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3C2027" w:rsidR="009C7B9D" w:rsidP="009C7B9D" w:rsidRDefault="009C7B9D" w14:paraId="7A9BCB81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Reza Hajatpour: Die Abkehr vom Rationalismus: Ein Weg zur spirituellen Innenwendung. Versetzt al-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Gazzali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dem philosophischen Denken den Todesstoß?, in: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Armenuhi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Drost-Abgarjan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u. Jürgen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Tubach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 xml:space="preserve"> (Hrsg.):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Hallische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Beiträge zur Orientwissenschaft. 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H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alle (Saale). 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2007, i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n Druck.</w:t>
      </w:r>
    </w:p>
    <w:p xmlns:wp14="http://schemas.microsoft.com/office/word/2010/wordml" w:rsidRPr="003C2027" w:rsidR="009C7B9D" w:rsidP="009C7B9D" w:rsidRDefault="009C7B9D" w14:paraId="62486C05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3C2027" w:rsidR="009C7B9D" w:rsidP="009C7B9D" w:rsidRDefault="009C7B9D" w14:paraId="3193977D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Reza Hajatpour: Sein, Wirklichkeit und Deutung: Die Vorstellung eines islamischen Philosophen für das menschliche Zusammenleben, in: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Armenuhi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Drost-Abgarjan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u. Jürgen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Tubach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 xml:space="preserve"> (Hrsg.):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Hallische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Beiträge zur Orientwissenschaft.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 xml:space="preserve"> Halle (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Saale)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.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2007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 xml:space="preserve">, 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in Druck.</w:t>
      </w:r>
    </w:p>
    <w:p xmlns:wp14="http://schemas.microsoft.com/office/word/2010/wordml" w:rsidRPr="003C2027" w:rsidR="009C7B9D" w:rsidP="009C7B9D" w:rsidRDefault="009C7B9D" w14:paraId="4101652C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3C2027" w:rsidR="009C7B9D" w:rsidP="009C7B9D" w:rsidRDefault="009C7B9D" w14:paraId="70623C51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Beyrut Roman" w:hAnsi="Times Beyrut Roman" w:eastAsia="Courier New" w:cs="Arial"/>
          <w:bCs/>
          <w:sz w:val="24"/>
          <w:szCs w:val="24"/>
          <w:lang w:eastAsia="de-DE"/>
        </w:rPr>
      </w:pPr>
      <w:r w:rsidRPr="003C2027">
        <w:rPr>
          <w:rFonts w:ascii="Times Beyrut Roman" w:hAnsi="Times Beyrut Roman" w:eastAsia="Courier New" w:cs="Times New Roman"/>
          <w:sz w:val="24"/>
          <w:szCs w:val="24"/>
          <w:lang w:eastAsia="de-DE"/>
        </w:rPr>
        <w:t xml:space="preserve">Reza Hajatpour: Auf der Suche nach dem verlorenen Paradies: Die Idee der Perfektibilität im Islam, in: Jürgen </w:t>
      </w:r>
      <w:proofErr w:type="spellStart"/>
      <w:r w:rsidRPr="003C2027">
        <w:rPr>
          <w:rFonts w:ascii="Times Beyrut Roman" w:hAnsi="Times Beyrut Roman" w:eastAsia="Courier New" w:cs="Times New Roman"/>
          <w:sz w:val="24"/>
          <w:szCs w:val="24"/>
          <w:lang w:eastAsia="de-DE"/>
        </w:rPr>
        <w:t>Tubach</w:t>
      </w:r>
      <w:proofErr w:type="spellEnd"/>
      <w:r w:rsidRPr="003C2027">
        <w:rPr>
          <w:rFonts w:ascii="Times Beyrut Roman" w:hAnsi="Times Beyrut Roman" w:eastAsia="Courier New" w:cs="Times New Roman"/>
          <w:sz w:val="24"/>
          <w:szCs w:val="24"/>
          <w:lang w:eastAsia="de-DE"/>
        </w:rPr>
        <w:t xml:space="preserve"> (Hrsg. 2009):</w:t>
      </w:r>
      <w:r w:rsidRPr="003C2027">
        <w:rPr>
          <w:rFonts w:ascii="Times Beyrut Roman" w:hAnsi="Times Beyrut Roman" w:eastAsia="Courier New" w:cs="Arial"/>
          <w:bCs/>
          <w:sz w:val="24"/>
          <w:szCs w:val="24"/>
          <w:lang w:eastAsia="de-DE"/>
        </w:rPr>
        <w:t xml:space="preserve"> „Sehnsucht nach dem Paradies“. „</w:t>
      </w:r>
      <w:r w:rsidRPr="003C2027">
        <w:rPr>
          <w:rFonts w:ascii="Times Beyrut Roman" w:hAnsi="Times Beyrut Roman" w:eastAsia="Courier New" w:cs="Times New Roman"/>
          <w:sz w:val="24"/>
          <w:szCs w:val="24"/>
          <w:lang w:eastAsia="de-DE"/>
        </w:rPr>
        <w:t xml:space="preserve">Studies in </w:t>
      </w:r>
      <w:proofErr w:type="spellStart"/>
      <w:r w:rsidRPr="003C2027">
        <w:rPr>
          <w:rFonts w:ascii="Times Beyrut Roman" w:hAnsi="Times Beyrut Roman" w:eastAsia="Courier New" w:cs="Times New Roman"/>
          <w:sz w:val="24"/>
          <w:szCs w:val="24"/>
          <w:lang w:eastAsia="de-DE"/>
        </w:rPr>
        <w:t>Oriental</w:t>
      </w:r>
      <w:proofErr w:type="spellEnd"/>
      <w:r w:rsidRPr="003C2027">
        <w:rPr>
          <w:rFonts w:ascii="Times Beyrut Roman" w:hAnsi="Times Beyrut Roman" w:eastAsia="Courier New" w:cs="Times New Roman"/>
          <w:sz w:val="24"/>
          <w:szCs w:val="24"/>
          <w:lang w:eastAsia="de-DE"/>
        </w:rPr>
        <w:t xml:space="preserve"> </w:t>
      </w:r>
      <w:proofErr w:type="spellStart"/>
      <w:r w:rsidRPr="003C2027">
        <w:rPr>
          <w:rFonts w:ascii="Times Beyrut Roman" w:hAnsi="Times Beyrut Roman" w:eastAsia="Courier New" w:cs="Times New Roman"/>
          <w:sz w:val="24"/>
          <w:szCs w:val="24"/>
          <w:lang w:eastAsia="de-DE"/>
        </w:rPr>
        <w:t>Religions</w:t>
      </w:r>
      <w:proofErr w:type="spellEnd"/>
      <w:r w:rsidRPr="003C2027">
        <w:rPr>
          <w:rFonts w:ascii="Times Beyrut Roman" w:hAnsi="Times Beyrut Roman" w:eastAsia="Courier New" w:cs="Times New Roman"/>
          <w:sz w:val="24"/>
          <w:szCs w:val="24"/>
          <w:lang w:eastAsia="de-DE"/>
        </w:rPr>
        <w:t xml:space="preserve">“. </w:t>
      </w:r>
      <w:proofErr w:type="spellStart"/>
      <w:r w:rsidRPr="003C2027">
        <w:rPr>
          <w:rFonts w:ascii="Times Beyrut Roman" w:hAnsi="Times Beyrut Roman" w:eastAsia="Courier New" w:cs="Times New Roman"/>
          <w:sz w:val="24"/>
          <w:szCs w:val="24"/>
          <w:lang w:eastAsia="de-DE"/>
        </w:rPr>
        <w:t>Harrassowitz</w:t>
      </w:r>
      <w:proofErr w:type="spellEnd"/>
      <w:r w:rsidRPr="003C2027">
        <w:rPr>
          <w:rFonts w:ascii="Times Beyrut Roman" w:hAnsi="Times Beyrut Roman" w:eastAsia="Courier New" w:cs="Times New Roman"/>
          <w:sz w:val="24"/>
          <w:szCs w:val="24"/>
          <w:lang w:eastAsia="de-DE"/>
        </w:rPr>
        <w:t xml:space="preserve">-Verlag. </w:t>
      </w:r>
      <w:r w:rsidRPr="003C2027">
        <w:rPr>
          <w:rFonts w:ascii="Times Beyrut Roman" w:hAnsi="Times Beyrut Roman" w:eastAsia="Courier New" w:cs="Arial"/>
          <w:bCs/>
          <w:sz w:val="24"/>
          <w:szCs w:val="24"/>
          <w:lang w:eastAsia="de-DE"/>
        </w:rPr>
        <w:t>2010, S. 159-170.</w:t>
      </w:r>
    </w:p>
    <w:p xmlns:wp14="http://schemas.microsoft.com/office/word/2010/wordml" w:rsidRPr="003C2027" w:rsidR="009C7B9D" w:rsidP="009C7B9D" w:rsidRDefault="009C7B9D" w14:paraId="4B99056E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Beyrut Roman" w:hAnsi="Times Beyrut Roman" w:eastAsia="Courier New" w:cs="Arial"/>
          <w:bCs/>
          <w:sz w:val="24"/>
          <w:szCs w:val="24"/>
          <w:lang w:eastAsia="de-DE"/>
        </w:rPr>
      </w:pPr>
    </w:p>
    <w:p xmlns:wp14="http://schemas.microsoft.com/office/word/2010/wordml" w:rsidRPr="003C2027" w:rsidR="009C7B9D" w:rsidP="009C7B9D" w:rsidRDefault="009C7B9D" w14:paraId="6EDAC3A1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Beyrut Roman" w:hAnsi="Times Beyrut Roman" w:eastAsia="Courier New" w:cs="Arial"/>
          <w:bCs/>
          <w:sz w:val="24"/>
          <w:szCs w:val="24"/>
          <w:lang w:eastAsia="de-DE"/>
        </w:rPr>
      </w:pPr>
      <w:r w:rsidRPr="003C2027">
        <w:rPr>
          <w:rFonts w:ascii="Times Beyrut Roman" w:hAnsi="Times Beyrut Roman" w:eastAsia="Courier New" w:cs="Arial"/>
          <w:bCs/>
          <w:sz w:val="24"/>
          <w:szCs w:val="24"/>
          <w:lang w:eastAsia="de-DE"/>
        </w:rPr>
        <w:t>Reza Hajatpour: Entwicklung der Philosophie im schiitischen Iran seit der Modernisierung, in: Orient. Deutsche Zeitschrift für Politik, Wirtschaft und Kultur des Orients. Berlin. IV/2009, S. 44-56.</w:t>
      </w:r>
    </w:p>
    <w:p xmlns:wp14="http://schemas.microsoft.com/office/word/2010/wordml" w:rsidRPr="003C2027" w:rsidR="009C7B9D" w:rsidP="009C7B9D" w:rsidRDefault="009C7B9D" w14:paraId="1299C43A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Beyrut Roman" w:hAnsi="Times Beyrut Roman" w:eastAsia="Courier New" w:cs="Arial"/>
          <w:bCs/>
          <w:sz w:val="24"/>
          <w:szCs w:val="24"/>
          <w:lang w:eastAsia="de-DE"/>
        </w:rPr>
      </w:pPr>
    </w:p>
    <w:p xmlns:wp14="http://schemas.microsoft.com/office/word/2010/wordml" w:rsidRPr="003C2027" w:rsidR="009C7B9D" w:rsidP="009C7B9D" w:rsidRDefault="009C7B9D" w14:paraId="5C7D1782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Beyrut Roman" w:hAnsi="Times Beyrut Roman" w:eastAsia="Courier New" w:cs="Arial"/>
          <w:bCs/>
          <w:sz w:val="24"/>
          <w:szCs w:val="24"/>
          <w:lang w:eastAsia="de-DE"/>
        </w:rPr>
      </w:pPr>
      <w:r w:rsidRPr="003C2027">
        <w:rPr>
          <w:rFonts w:ascii="Times Beyrut Roman" w:hAnsi="Times Beyrut Roman" w:eastAsia="Courier New" w:cs="Arial"/>
          <w:bCs/>
          <w:sz w:val="24"/>
          <w:szCs w:val="24"/>
          <w:lang w:eastAsia="de-DE"/>
        </w:rPr>
        <w:t>Reza Hajatpour: Die Angst der Muslime, in: Korrespondenzblatt, Herausgegeben vom Pfarrer- und Pfarrerinnenverein in der evangelisch-lutherischen Kirche in Bayern. 125. Jahrgang. Nr. 8/9 Aug./Sept. 10, S. 153-157.</w:t>
      </w:r>
    </w:p>
    <w:p xmlns:wp14="http://schemas.microsoft.com/office/word/2010/wordml" w:rsidRPr="003C2027" w:rsidR="009C7B9D" w:rsidP="009C7B9D" w:rsidRDefault="009C7B9D" w14:paraId="4DDBEF00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Beyrut Roman" w:hAnsi="Times Beyrut Roman" w:eastAsia="Courier New" w:cs="Arial"/>
          <w:bCs/>
          <w:sz w:val="24"/>
          <w:szCs w:val="24"/>
          <w:lang w:eastAsia="de-DE"/>
        </w:rPr>
      </w:pPr>
    </w:p>
    <w:p xmlns:wp14="http://schemas.microsoft.com/office/word/2010/wordml" w:rsidRPr="003C2027" w:rsidR="009C7B9D" w:rsidP="009C7B9D" w:rsidRDefault="009C7B9D" w14:paraId="785A1032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Beyrut Roman" w:hAnsi="Times Beyrut Roman" w:eastAsia="Courier New" w:cs="Arial"/>
          <w:bCs/>
          <w:sz w:val="24"/>
          <w:szCs w:val="24"/>
          <w:lang w:val="en-GB" w:eastAsia="de-DE"/>
        </w:rPr>
      </w:pPr>
      <w:r w:rsidRPr="003C2027">
        <w:rPr>
          <w:rFonts w:ascii="Times Beyrut Roman" w:hAnsi="Times Beyrut Roman" w:eastAsia="Courier New" w:cs="Arial"/>
          <w:bCs/>
          <w:sz w:val="24"/>
          <w:szCs w:val="24"/>
          <w:lang w:eastAsia="de-DE"/>
        </w:rPr>
        <w:t xml:space="preserve">Reza Hajatpour: Länder der Region im Porträt. Von der arabischen zur iranischen Revolution, in: Aus Politik und Zeitgeschichte. </w:t>
      </w:r>
      <w:r w:rsidRPr="003C2027">
        <w:rPr>
          <w:rFonts w:ascii="Times Beyrut Roman" w:hAnsi="Times Beyrut Roman" w:eastAsia="Courier New" w:cs="Arial"/>
          <w:bCs/>
          <w:sz w:val="24"/>
          <w:szCs w:val="24"/>
          <w:lang w:val="en-GB" w:eastAsia="de-DE"/>
        </w:rPr>
        <w:t xml:space="preserve">61. </w:t>
      </w:r>
      <w:proofErr w:type="spellStart"/>
      <w:r w:rsidRPr="003C2027">
        <w:rPr>
          <w:rFonts w:ascii="Times Beyrut Roman" w:hAnsi="Times Beyrut Roman" w:eastAsia="Courier New" w:cs="Arial"/>
          <w:bCs/>
          <w:sz w:val="24"/>
          <w:szCs w:val="24"/>
          <w:lang w:val="en-GB" w:eastAsia="de-DE"/>
        </w:rPr>
        <w:t>Jahrgang</w:t>
      </w:r>
      <w:proofErr w:type="spellEnd"/>
      <w:r w:rsidRPr="003C2027">
        <w:rPr>
          <w:rFonts w:ascii="Times Beyrut Roman" w:hAnsi="Times Beyrut Roman" w:eastAsia="Courier New" w:cs="Arial"/>
          <w:bCs/>
          <w:sz w:val="24"/>
          <w:szCs w:val="24"/>
          <w:lang w:val="en-GB" w:eastAsia="de-DE"/>
        </w:rPr>
        <w:t>. 39/2011. 26. September 2011, S.16-20.</w:t>
      </w:r>
    </w:p>
    <w:p xmlns:wp14="http://schemas.microsoft.com/office/word/2010/wordml" w:rsidRPr="003C2027" w:rsidR="009C7B9D" w:rsidP="009C7B9D" w:rsidRDefault="009C7B9D" w14:paraId="3461D779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Beyrut Roman" w:hAnsi="Times Beyrut Roman" w:eastAsia="Courier New" w:cs="Arial"/>
          <w:bCs/>
          <w:sz w:val="24"/>
          <w:szCs w:val="24"/>
          <w:lang w:val="en-GB" w:eastAsia="de-DE"/>
        </w:rPr>
      </w:pPr>
    </w:p>
    <w:p xmlns:wp14="http://schemas.microsoft.com/office/word/2010/wordml" w:rsidRPr="003C2027" w:rsidR="009C7B9D" w:rsidP="009C7B9D" w:rsidRDefault="009C7B9D" w14:paraId="1F720770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Beyrut Roman" w:hAnsi="Times Beyrut Roman" w:eastAsia="Courier New" w:cs="Times New Roman"/>
          <w:bCs/>
          <w:sz w:val="24"/>
          <w:szCs w:val="24"/>
          <w:lang w:eastAsia="de-DE"/>
        </w:rPr>
      </w:pPr>
      <w:r w:rsidRPr="003C2027">
        <w:rPr>
          <w:rFonts w:ascii="Times Beyrut Roman" w:hAnsi="Times Beyrut Roman" w:eastAsia="Courier New" w:cs="Times New Roman"/>
          <w:bCs/>
          <w:sz w:val="24"/>
          <w:szCs w:val="24"/>
          <w:lang w:val="en-US" w:eastAsia="de-DE"/>
        </w:rPr>
        <w:t xml:space="preserve">Reza Hajatpour: </w:t>
      </w:r>
      <w:r w:rsidRPr="003C2027">
        <w:rPr>
          <w:rFonts w:ascii="Times Beyrut Roman" w:hAnsi="Times Beyrut Roman" w:eastAsia="Courier New" w:cs="Times New Roman"/>
          <w:sz w:val="24"/>
          <w:szCs w:val="24"/>
          <w:lang w:val="en-GB" w:eastAsia="fa-IR" w:bidi="fa-IR"/>
        </w:rPr>
        <w:t xml:space="preserve">Reflections and Legal Analysis of the Relationship between "Religious Government and Human Rights" from the Perspective of Grand Ayatollah </w:t>
      </w:r>
      <w:proofErr w:type="spellStart"/>
      <w:r w:rsidRPr="003C2027">
        <w:rPr>
          <w:rFonts w:ascii="Times Beyrut Roman" w:hAnsi="Times Beyrut Roman" w:eastAsia="Courier New" w:cs="Times New Roman"/>
          <w:sz w:val="24"/>
          <w:szCs w:val="24"/>
          <w:lang w:val="en-GB" w:eastAsia="fa-IR" w:bidi="fa-IR"/>
        </w:rPr>
        <w:t>Monta</w:t>
      </w:r>
      <w:r w:rsidRPr="003C2027">
        <w:rPr>
          <w:rFonts w:ascii="Cambria" w:hAnsi="Cambria" w:eastAsia="Courier New" w:cs="Cambria"/>
          <w:sz w:val="24"/>
          <w:szCs w:val="24"/>
          <w:lang w:val="en-GB" w:eastAsia="fa-IR" w:bidi="fa-IR"/>
        </w:rPr>
        <w:t>ẓ</w:t>
      </w:r>
      <w:r w:rsidRPr="003C2027">
        <w:rPr>
          <w:rFonts w:ascii="Times Beyrut Roman" w:hAnsi="Times Beyrut Roman" w:eastAsia="Courier New" w:cs="Times New Roman"/>
          <w:sz w:val="24"/>
          <w:szCs w:val="24"/>
          <w:lang w:val="en-GB" w:eastAsia="fa-IR" w:bidi="fa-IR"/>
        </w:rPr>
        <w:t>er</w:t>
      </w:r>
      <w:r w:rsidRPr="003C2027">
        <w:rPr>
          <w:rFonts w:ascii="Cambria" w:hAnsi="Cambria" w:eastAsia="Courier New" w:cs="Cambria"/>
          <w:sz w:val="24"/>
          <w:szCs w:val="24"/>
          <w:lang w:val="en-GB" w:eastAsia="fa-IR" w:bidi="fa-IR"/>
        </w:rPr>
        <w:t>ī</w:t>
      </w:r>
      <w:proofErr w:type="spellEnd"/>
      <w:r w:rsidRPr="003C2027">
        <w:rPr>
          <w:rFonts w:ascii="Times Beyrut Roman" w:hAnsi="Times Beyrut Roman" w:eastAsia="Courier New" w:cs="Times New Roman"/>
          <w:sz w:val="24"/>
          <w:szCs w:val="24"/>
          <w:lang w:val="en-GB" w:eastAsia="fa-IR" w:bidi="fa-IR"/>
        </w:rPr>
        <w:t xml:space="preserve">, in: Die Welt des </w:t>
      </w:r>
      <w:proofErr w:type="spellStart"/>
      <w:r w:rsidRPr="003C2027">
        <w:rPr>
          <w:rFonts w:ascii="Times Beyrut Roman" w:hAnsi="Times Beyrut Roman" w:eastAsia="Courier New" w:cs="Times New Roman"/>
          <w:sz w:val="24"/>
          <w:szCs w:val="24"/>
          <w:lang w:val="en-GB" w:eastAsia="fa-IR" w:bidi="fa-IR"/>
        </w:rPr>
        <w:t>Islams</w:t>
      </w:r>
      <w:proofErr w:type="spellEnd"/>
      <w:r w:rsidRPr="003C2027">
        <w:rPr>
          <w:rFonts w:ascii="Times Beyrut Roman" w:hAnsi="Times Beyrut Roman" w:eastAsia="Courier New" w:cs="Times New Roman"/>
          <w:sz w:val="24"/>
          <w:szCs w:val="24"/>
          <w:lang w:val="en-GB" w:eastAsia="fa-IR" w:bidi="fa-IR"/>
        </w:rPr>
        <w:t xml:space="preserve"> 51. </w:t>
      </w:r>
      <w:r w:rsidRPr="003C2027">
        <w:rPr>
          <w:rFonts w:ascii="Times Beyrut Roman" w:hAnsi="Times Beyrut Roman" w:eastAsia="Courier New" w:cs="Times New Roman"/>
          <w:sz w:val="24"/>
          <w:szCs w:val="24"/>
          <w:lang w:eastAsia="fa-IR" w:bidi="fa-IR"/>
        </w:rPr>
        <w:t>Leiden. 2011, S. 382-408.</w:t>
      </w:r>
    </w:p>
    <w:p xmlns:wp14="http://schemas.microsoft.com/office/word/2010/wordml" w:rsidRPr="003C2027" w:rsidR="009C7B9D" w:rsidP="009C7B9D" w:rsidRDefault="009C7B9D" w14:paraId="3CF2D8B6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Beyrut Roman" w:hAnsi="Times Beyrut Roman" w:eastAsia="Courier New" w:cs="Times New Roman"/>
          <w:bCs/>
          <w:sz w:val="24"/>
          <w:szCs w:val="24"/>
          <w:lang w:eastAsia="de-DE"/>
        </w:rPr>
      </w:pPr>
    </w:p>
    <w:p xmlns:wp14="http://schemas.microsoft.com/office/word/2010/wordml" w:rsidRPr="003C2027" w:rsidR="009C7B9D" w:rsidP="009C7B9D" w:rsidRDefault="009C7B9D" w14:paraId="27992ACC" wp14:textId="77777777">
      <w:pPr>
        <w:spacing w:after="0" w:line="240" w:lineRule="auto"/>
        <w:jc w:val="both"/>
        <w:rPr>
          <w:rFonts w:ascii="Times Beyrut Roman" w:hAnsi="Times Beyrut Roman" w:eastAsia="Times New Roman" w:cs="Times New Roman"/>
          <w:sz w:val="24"/>
          <w:szCs w:val="24"/>
          <w:lang w:eastAsia="de-DE"/>
        </w:rPr>
      </w:pPr>
      <w:r w:rsidRPr="003C2027">
        <w:rPr>
          <w:rFonts w:ascii="Times Beyrut Roman" w:hAnsi="Times Beyrut Roman" w:eastAsia="Times New Roman" w:cs="Times New Roman"/>
          <w:sz w:val="24"/>
          <w:szCs w:val="24"/>
          <w:lang w:eastAsia="de-DE"/>
        </w:rPr>
        <w:t>Reza Hajatpour: Die Einheit Gottes - Die Transzendenz Gottes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de-DE"/>
        </w:rPr>
        <w:t>, in: Amir Dziri (Hrsg.): Gottesvorstellung im Islam. Zur Dialekt von Transzende</w:t>
      </w:r>
      <w:r w:rsidRPr="003C2027" w:rsidR="00E82B74">
        <w:rPr>
          <w:rFonts w:ascii="Times Beyrut Roman" w:hAnsi="Times Beyrut Roman" w:eastAsia="Times New Roman" w:cs="Times New Roman"/>
          <w:color w:val="000000"/>
          <w:sz w:val="24"/>
          <w:szCs w:val="24"/>
          <w:lang w:eastAsia="de-DE"/>
        </w:rPr>
        <w:t>nz und Immanenz. Freiburg. 2013, S. 81-93.</w:t>
      </w:r>
    </w:p>
    <w:p xmlns:wp14="http://schemas.microsoft.com/office/word/2010/wordml" w:rsidRPr="003C2027" w:rsidR="009C7B9D" w:rsidP="009C7B9D" w:rsidRDefault="009C7B9D" w14:paraId="0FB78278" wp14:textId="77777777">
      <w:pPr>
        <w:spacing w:after="0" w:line="240" w:lineRule="auto"/>
        <w:jc w:val="both"/>
        <w:rPr>
          <w:rFonts w:ascii="Times Beyrut Roman" w:hAnsi="Times Beyrut Roman" w:eastAsia="Times New Roman" w:cs="Times New Roman"/>
          <w:sz w:val="24"/>
          <w:szCs w:val="24"/>
          <w:lang w:eastAsia="de-DE"/>
        </w:rPr>
      </w:pPr>
    </w:p>
    <w:p xmlns:wp14="http://schemas.microsoft.com/office/word/2010/wordml" w:rsidRPr="003C2027" w:rsidR="009C7B9D" w:rsidP="009C7B9D" w:rsidRDefault="009C7B9D" w14:paraId="717BF90E" wp14:textId="77777777">
      <w:pPr>
        <w:spacing w:after="0" w:line="240" w:lineRule="auto"/>
        <w:jc w:val="both"/>
        <w:rPr>
          <w:rFonts w:ascii="Times Beyrut Roman" w:hAnsi="Times Beyrut Roman" w:eastAsia="Times New Roman" w:cs="Times New Roman"/>
          <w:sz w:val="24"/>
          <w:szCs w:val="24"/>
          <w:lang w:eastAsia="de-DE"/>
        </w:rPr>
      </w:pPr>
      <w:r w:rsidRPr="003C2027">
        <w:rPr>
          <w:rFonts w:ascii="Times Beyrut Roman" w:hAnsi="Times Beyrut Roman" w:eastAsia="Times New Roman" w:cs="Times New Roman"/>
          <w:sz w:val="24"/>
          <w:szCs w:val="24"/>
          <w:lang w:eastAsia="de-DE"/>
        </w:rPr>
        <w:t>Reza Hajatpour: Mensch und Gott. Von islamisch-philosophischen Menschenbildern, in: Harry Harun Behr, Fahimah Ulfat (Hrsg.): Zwischen Himmel und Erde. Bildungsphilosophische Verhältnisbestimmungen von Heiligem Text und Geist. Waxmann. Münster und New York. 2014, S. 77-90.</w:t>
      </w:r>
    </w:p>
    <w:p xmlns:wp14="http://schemas.microsoft.com/office/word/2010/wordml" w:rsidRPr="003C2027" w:rsidR="009C7B9D" w:rsidP="009C7B9D" w:rsidRDefault="009C7B9D" w14:paraId="1FC39945" wp14:textId="77777777">
      <w:pPr>
        <w:spacing w:after="0" w:line="240" w:lineRule="auto"/>
        <w:jc w:val="both"/>
        <w:rPr>
          <w:rFonts w:ascii="Times Beyrut Roman" w:hAnsi="Times Beyrut Roman" w:eastAsia="Times New Roman" w:cs="Times New Roman"/>
          <w:sz w:val="24"/>
          <w:szCs w:val="24"/>
          <w:lang w:eastAsia="de-DE"/>
        </w:rPr>
      </w:pPr>
    </w:p>
    <w:p xmlns:wp14="http://schemas.microsoft.com/office/word/2010/wordml" w:rsidRPr="003C2027" w:rsidR="009C7B9D" w:rsidP="009C7B9D" w:rsidRDefault="009C7B9D" w14:paraId="0992F63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Beyrut Roman" w:hAnsi="Times Beyrut Roman" w:eastAsia="Calibri" w:cs="Times New Roman"/>
          <w:bCs/>
          <w:color w:val="000000"/>
          <w:sz w:val="24"/>
          <w:szCs w:val="24"/>
        </w:rPr>
      </w:pPr>
      <w:r w:rsidRPr="003C2027">
        <w:rPr>
          <w:rFonts w:ascii="Times Beyrut Roman" w:hAnsi="Times Beyrut Roman" w:eastAsia="Calibri" w:cs="Times New Roman"/>
          <w:bCs/>
          <w:color w:val="000000"/>
          <w:sz w:val="24"/>
          <w:szCs w:val="24"/>
        </w:rPr>
        <w:t xml:space="preserve">Reza Hajatpour: Die Vorgeschichte der Arabischen Revolte: Die Grüne Revolution im Iran von 2009, in: </w:t>
      </w:r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Hanna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Röbbelen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, Peter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Lintl</w:t>
      </w:r>
      <w:proofErr w:type="spellEnd"/>
      <w:r w:rsidRPr="003C2027">
        <w:rPr>
          <w:rFonts w:ascii="Times Beyrut Roman" w:hAnsi="Times Beyrut Roman" w:eastAsia="Calibri" w:cs="Times New Roman"/>
          <w:bCs/>
          <w:color w:val="000000"/>
          <w:sz w:val="24"/>
          <w:szCs w:val="24"/>
        </w:rPr>
        <w:t xml:space="preserve">,  Georges Tamer (Hrsg.): Arabischer Aufbruch. Interdisziplinäre Studien zur Einordnung eines zeitgeschichtlichen Phänomens. Baden-Baden. 2014, S.247-262.  </w:t>
      </w:r>
    </w:p>
    <w:p xmlns:wp14="http://schemas.microsoft.com/office/word/2010/wordml" w:rsidRPr="003C2027" w:rsidR="009C7B9D" w:rsidP="009C7B9D" w:rsidRDefault="009C7B9D" w14:paraId="0562CB0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Beyrut Roman" w:hAnsi="Times Beyrut Roman" w:eastAsia="Calibri" w:cs="Times New Roman"/>
          <w:bCs/>
          <w:color w:val="000000"/>
          <w:sz w:val="24"/>
          <w:szCs w:val="24"/>
        </w:rPr>
      </w:pPr>
    </w:p>
    <w:p xmlns:wp14="http://schemas.microsoft.com/office/word/2010/wordml" w:rsidRPr="003C2027" w:rsidR="009C7B9D" w:rsidP="009C7B9D" w:rsidRDefault="009C7B9D" w14:paraId="5B0F7E7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Beyrut Roman" w:hAnsi="Times Beyrut Roman" w:eastAsia="Calibri" w:cs="Times New Roman"/>
          <w:bCs/>
          <w:color w:val="000000"/>
          <w:sz w:val="24"/>
          <w:szCs w:val="24"/>
        </w:rPr>
      </w:pPr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lastRenderedPageBreak/>
        <w:t xml:space="preserve">Reza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Hajatpour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: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Mahiyyat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al-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kamal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wa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fikrat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al-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haraka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al-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gauhariyya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ind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ash-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Shirazi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, in: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Mokdad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Arfa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Mensia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(Hrsg.):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nazarat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fi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falsafa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Ibn Sina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wa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Mulla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Sadra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ash-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Shirazi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. Tunis. 2014, S. 239-257.</w:t>
      </w:r>
    </w:p>
    <w:p xmlns:wp14="http://schemas.microsoft.com/office/word/2010/wordml" w:rsidRPr="003C2027" w:rsidR="009C7B9D" w:rsidP="009C7B9D" w:rsidRDefault="009C7B9D" w14:paraId="29D6B04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Beyrut Roman" w:hAnsi="Times Beyrut Roman" w:eastAsia="Calibri" w:cs="Times New Roman"/>
          <w:bCs/>
          <w:color w:val="000000"/>
          <w:sz w:val="24"/>
          <w:szCs w:val="24"/>
        </w:rPr>
      </w:pPr>
      <w:r w:rsidRPr="003C2027">
        <w:rPr>
          <w:rFonts w:ascii="Times Beyrut Roman" w:hAnsi="Times Beyrut Roman" w:eastAsia="Calibri" w:cs="Times New Roman"/>
          <w:bCs/>
          <w:color w:val="000000"/>
          <w:sz w:val="24"/>
          <w:szCs w:val="24"/>
        </w:rPr>
        <w:t xml:space="preserve"> </w:t>
      </w:r>
    </w:p>
    <w:p xmlns:wp14="http://schemas.microsoft.com/office/word/2010/wordml" w:rsidRPr="003C2027" w:rsidR="009C7B9D" w:rsidP="009C7B9D" w:rsidRDefault="009C7B9D" w14:paraId="6036445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Beyrut Roman" w:hAnsi="Times Beyrut Roman" w:eastAsia="Calibri" w:cs="Times New Roman"/>
          <w:color w:val="000000"/>
          <w:sz w:val="24"/>
          <w:szCs w:val="24"/>
        </w:rPr>
      </w:pPr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Reza Hajatpour: Schönheits- und Vollkommenheitsbegriff. Der Versuch einer ästhetischen</w:t>
      </w:r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br/>
      </w:r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Theorie aus religionsphilosophischer Sicht im Islam, in: Andreas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Feldtkeller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,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Notger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 xml:space="preserve"> </w:t>
      </w:r>
      <w:proofErr w:type="spellStart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Slenczka</w:t>
      </w:r>
      <w:proofErr w:type="spellEnd"/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: Deutung des Wortes - Deutung der Welt im Gespräch</w:t>
      </w:r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br/>
      </w:r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zwischen Islam und Christentum. XXII. Reihlen-Vorlesung / XVI.</w:t>
      </w:r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br/>
      </w:r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Bonhoeffer-Vorlesung. Berliner Theologische Zeitschrift. Beiheft 2014.</w:t>
      </w:r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br/>
      </w:r>
      <w:r w:rsidRPr="003C2027">
        <w:rPr>
          <w:rFonts w:ascii="Times Beyrut Roman" w:hAnsi="Times Beyrut Roman" w:eastAsia="Calibri" w:cs="Times New Roman"/>
          <w:color w:val="000000"/>
          <w:sz w:val="24"/>
          <w:szCs w:val="24"/>
        </w:rPr>
        <w:t>Leipzig (Evangelische Verlagsanstalt). 2015, S. 73-98.</w:t>
      </w:r>
    </w:p>
    <w:p xmlns:wp14="http://schemas.microsoft.com/office/word/2010/wordml" w:rsidRPr="003C2027" w:rsidR="009C7B9D" w:rsidP="009C7B9D" w:rsidRDefault="009C7B9D" w14:paraId="34CE0A4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Beyrut Roman" w:hAnsi="Times Beyrut Roman" w:eastAsia="Calibri" w:cs="Times New Roman"/>
          <w:color w:val="000000"/>
          <w:sz w:val="24"/>
          <w:szCs w:val="24"/>
        </w:rPr>
      </w:pPr>
    </w:p>
    <w:p xmlns:wp14="http://schemas.microsoft.com/office/word/2010/wordml" w:rsidRPr="003C2027" w:rsidR="009C7B9D" w:rsidP="009C7B9D" w:rsidRDefault="009C7B9D" w14:paraId="3CFB0882" wp14:textId="1F9F3AAD">
      <w:pPr>
        <w:autoSpaceDE w:val="0"/>
        <w:autoSpaceDN w:val="0"/>
        <w:adjustRightInd w:val="0"/>
        <w:spacing w:after="0" w:line="240" w:lineRule="auto"/>
        <w:jc w:val="both"/>
        <w:rPr>
          <w:rFonts w:ascii="Times Beyrut Roman" w:hAnsi="Times Beyrut Roman" w:eastAsia="Calibri" w:cs="Arial"/>
          <w:color w:val="000000"/>
          <w:sz w:val="24"/>
          <w:szCs w:val="24"/>
        </w:rPr>
      </w:pPr>
      <w:r w:rsidRPr="0F966AF0" w:rsidR="0F966AF0">
        <w:rPr>
          <w:rFonts w:ascii="Times Beyrut Roman" w:hAnsi="Times Beyrut Roman" w:eastAsia="Calibri" w:cs="Arial"/>
          <w:color w:val="000000" w:themeColor="text1" w:themeTint="FF" w:themeShade="FF"/>
          <w:sz w:val="24"/>
          <w:szCs w:val="24"/>
        </w:rPr>
        <w:t>Reza Hajatpour: Im Schweigen das Recht sprechen lassen, in: Nicole Jungsberger (Hrsg.): Simon Wiesenthal: Die Sonnenblume. Über die Möglichkeit und Grenzen von Vergebung. Europa Verlag. Berlin. 2015, S. 215-219.</w:t>
      </w:r>
    </w:p>
    <w:p xmlns:wp14="http://schemas.microsoft.com/office/word/2010/wordml" w:rsidRPr="003C2027" w:rsidR="009C7B9D" w:rsidP="009C7B9D" w:rsidRDefault="009C7B9D" w14:paraId="62EBF3C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Beyrut Roman" w:hAnsi="Times Beyrut Roman" w:eastAsia="Calibri" w:cs="Arial"/>
          <w:color w:val="000000"/>
          <w:sz w:val="24"/>
          <w:szCs w:val="24"/>
        </w:rPr>
      </w:pPr>
    </w:p>
    <w:p xmlns:wp14="http://schemas.microsoft.com/office/word/2010/wordml" w:rsidRPr="003C2027" w:rsidR="009C7B9D" w:rsidP="0F966AF0" w:rsidRDefault="009C7B9D" w14:paraId="4C603695" wp14:textId="62C52799">
      <w:pPr>
        <w:pStyle w:val="Standard"/>
        <w:autoSpaceDE w:val="0"/>
        <w:autoSpaceDN w:val="0"/>
        <w:adjustRightInd w:val="0"/>
        <w:spacing w:after="0" w:line="240" w:lineRule="auto"/>
        <w:jc w:val="both"/>
        <w:rPr>
          <w:rFonts w:ascii="Times Beyrut Roman" w:hAnsi="Times Beyrut Roman" w:eastAsia="Calibri" w:cs="Times New Roman"/>
          <w:color w:val="000000"/>
          <w:sz w:val="24"/>
          <w:szCs w:val="24"/>
        </w:rPr>
      </w:pPr>
      <w:r w:rsidRPr="0F966AF0" w:rsidR="0F966AF0">
        <w:rPr>
          <w:rFonts w:ascii="Times Beyrut Roman" w:hAnsi="Times Beyrut Roman" w:eastAsia="Calibri" w:cs="TheMixOffice"/>
          <w:color w:val="000000" w:themeColor="text1" w:themeTint="FF" w:themeShade="FF"/>
          <w:sz w:val="24"/>
          <w:szCs w:val="24"/>
        </w:rPr>
        <w:t xml:space="preserve">Reza </w:t>
      </w:r>
      <w:proofErr w:type="spellStart"/>
      <w:r w:rsidRPr="0F966AF0" w:rsidR="0F966AF0">
        <w:rPr>
          <w:rFonts w:ascii="Times Beyrut Roman" w:hAnsi="Times Beyrut Roman" w:eastAsia="Times Beyrut Roman" w:cs="Times Beyrut Roman"/>
          <w:noProof w:val="0"/>
          <w:sz w:val="24"/>
          <w:szCs w:val="24"/>
          <w:lang w:val="de-DE"/>
        </w:rPr>
        <w:t>Hajatpour</w:t>
      </w:r>
      <w:proofErr w:type="spellEnd"/>
      <w:r w:rsidRPr="0F966AF0" w:rsidR="0F966AF0">
        <w:rPr>
          <w:rFonts w:ascii="Times Beyrut Roman" w:hAnsi="Times Beyrut Roman" w:eastAsia="Calibri" w:cs="TheMixOffice"/>
          <w:color w:val="000000" w:themeColor="text1" w:themeTint="FF" w:themeShade="FF"/>
          <w:sz w:val="24"/>
          <w:szCs w:val="24"/>
        </w:rPr>
        <w:t>: Vernünftig glauben? Das Zueinander von Vernunft und Offenbarung, in: CIBEDO-BEITRÄGE zum Gespräch zwischen Christen und Muslimen. CIBEDO-BEITRÄGE. 4/2015, S. 146-154.</w:t>
      </w:r>
    </w:p>
    <w:p xmlns:wp14="http://schemas.microsoft.com/office/word/2010/wordml" w:rsidRPr="003C2027" w:rsidR="009C7B9D" w:rsidP="009C7B9D" w:rsidRDefault="009C7B9D" w14:paraId="6D98A12B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Beyrut Roman" w:hAnsi="Times Beyrut Roman" w:eastAsia="Courier New" w:cs="Times New Roman"/>
          <w:sz w:val="24"/>
          <w:szCs w:val="24"/>
          <w:lang w:eastAsia="de-DE"/>
        </w:rPr>
      </w:pPr>
    </w:p>
    <w:p xmlns:wp14="http://schemas.microsoft.com/office/word/2010/wordml" w:rsidRPr="003C2027" w:rsidR="009C7B9D" w:rsidP="009C7B9D" w:rsidRDefault="009C7B9D" w14:paraId="0FCB6EA3" wp14:textId="77777777">
      <w:pPr>
        <w:spacing w:after="0" w:line="240" w:lineRule="auto"/>
        <w:jc w:val="both"/>
        <w:rPr>
          <w:rFonts w:ascii="Times Beyrut Roman" w:hAnsi="Times Beyrut Roman" w:eastAsia="Times New Roman" w:cs="Times New Roman"/>
          <w:color w:val="000000"/>
          <w:sz w:val="24"/>
          <w:szCs w:val="24"/>
          <w:lang w:eastAsia="de-DE"/>
        </w:rPr>
      </w:pPr>
      <w:r w:rsidRPr="003C2027">
        <w:rPr>
          <w:rFonts w:ascii="Times Beyrut Roman" w:hAnsi="Times Beyrut Roman" w:eastAsia="Times New Roman" w:cs="Times New Roman"/>
          <w:sz w:val="24"/>
          <w:szCs w:val="24"/>
          <w:lang w:eastAsia="de-DE"/>
        </w:rPr>
        <w:t xml:space="preserve">Reza Hajatpour: 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de-DE"/>
        </w:rPr>
        <w:t xml:space="preserve">Armut aus der Sicht des Sufismus, in: Christian Ströbele, Anja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de-DE"/>
        </w:rPr>
        <w:t>Middelbeck-Varwick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de-DE"/>
        </w:rPr>
        <w:t xml:space="preserve">, Amir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de-DE"/>
        </w:rPr>
        <w:t>Dziri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de-DE"/>
        </w:rPr>
        <w:t xml:space="preserve">,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de-DE"/>
        </w:rPr>
        <w:t>Muna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de-DE"/>
        </w:rPr>
        <w:t xml:space="preserve"> Tatari (Hrsg.): Armut und Gerechtigkeit. Christliche und islamische Perspektiven. Regensburg. 2016, S. 124-135. </w:t>
      </w:r>
    </w:p>
    <w:p xmlns:wp14="http://schemas.microsoft.com/office/word/2010/wordml" w:rsidRPr="003C2027" w:rsidR="0056315E" w:rsidP="0056315E" w:rsidRDefault="0056315E" w14:paraId="2946DB82" wp14:textId="77777777">
      <w:pPr>
        <w:spacing w:after="0"/>
        <w:jc w:val="both"/>
        <w:rPr>
          <w:rFonts w:ascii="Times Beyrut Roman" w:hAnsi="Times Beyrut Roman"/>
          <w:sz w:val="24"/>
          <w:szCs w:val="24"/>
        </w:rPr>
      </w:pPr>
    </w:p>
    <w:p xmlns:wp14="http://schemas.microsoft.com/office/word/2010/wordml" w:rsidRPr="00FC4A7C" w:rsidR="001F6ABB" w:rsidP="0F966AF0" w:rsidRDefault="0056315E" w14:paraId="65DC4AA7" wp14:textId="6E61E71F">
      <w:pPr>
        <w:pStyle w:val="Standard"/>
        <w:spacing w:after="0"/>
        <w:jc w:val="both"/>
        <w:rPr>
          <w:rFonts w:ascii="Times Beyrut Roman" w:hAnsi="Times Beyrut Roman"/>
          <w:sz w:val="24"/>
          <w:szCs w:val="24"/>
          <w:lang w:val="en-GB"/>
        </w:rPr>
      </w:pPr>
      <w:r w:rsidRPr="0F966AF0" w:rsidR="0F966AF0">
        <w:rPr>
          <w:rFonts w:ascii="Times Beyrut Roman" w:hAnsi="Times Beyrut Roman"/>
          <w:sz w:val="24"/>
          <w:szCs w:val="24"/>
        </w:rPr>
        <w:t xml:space="preserve">Reza </w:t>
      </w:r>
      <w:proofErr w:type="spellStart"/>
      <w:r w:rsidRPr="0F966AF0" w:rsidR="0F966AF0">
        <w:rPr>
          <w:rFonts w:ascii="Times Beyrut Roman" w:hAnsi="Times Beyrut Roman" w:eastAsia="Times Beyrut Roman" w:cs="Times Beyrut Roman"/>
          <w:noProof w:val="0"/>
          <w:sz w:val="24"/>
          <w:szCs w:val="24"/>
          <w:lang w:val="de-DE"/>
        </w:rPr>
        <w:t>Hajatpour</w:t>
      </w:r>
      <w:proofErr w:type="spellEnd"/>
      <w:r w:rsidRPr="0F966AF0" w:rsidR="0F966AF0">
        <w:rPr>
          <w:rFonts w:ascii="Times Beyrut Roman" w:hAnsi="Times Beyrut Roman"/>
          <w:sz w:val="24"/>
          <w:szCs w:val="24"/>
        </w:rPr>
        <w:t xml:space="preserve">: Die Grenze und die Autonomie der Vernunft aus der islamisch-philosophischen Perspektive, In: Tarek </w:t>
      </w:r>
      <w:proofErr w:type="spellStart"/>
      <w:r w:rsidRPr="0F966AF0" w:rsidR="0F966AF0">
        <w:rPr>
          <w:rFonts w:ascii="Times Beyrut Roman" w:hAnsi="Times Beyrut Roman"/>
          <w:sz w:val="24"/>
          <w:szCs w:val="24"/>
        </w:rPr>
        <w:t>Badawia</w:t>
      </w:r>
      <w:proofErr w:type="spellEnd"/>
      <w:r w:rsidRPr="0F966AF0" w:rsidR="0F966AF0">
        <w:rPr>
          <w:rFonts w:ascii="Times Beyrut Roman" w:hAnsi="Times Beyrut Roman"/>
          <w:sz w:val="24"/>
          <w:szCs w:val="24"/>
        </w:rPr>
        <w:t xml:space="preserve"> / Hansjörg Schmid (</w:t>
      </w:r>
      <w:proofErr w:type="spellStart"/>
      <w:r w:rsidRPr="0F966AF0" w:rsidR="0F966AF0">
        <w:rPr>
          <w:rFonts w:ascii="Times Beyrut Roman" w:hAnsi="Times Beyrut Roman"/>
          <w:sz w:val="24"/>
          <w:szCs w:val="24"/>
        </w:rPr>
        <w:t>Hg</w:t>
      </w:r>
      <w:proofErr w:type="spellEnd"/>
      <w:r w:rsidRPr="0F966AF0" w:rsidR="0F966AF0">
        <w:rPr>
          <w:rFonts w:ascii="Times Beyrut Roman" w:hAnsi="Times Beyrut Roman"/>
          <w:sz w:val="24"/>
          <w:szCs w:val="24"/>
        </w:rPr>
        <w:t xml:space="preserve">.): Zwischen Gewissen und Norm. Autonomie als Leitkategorie religiöser Bildung im Islam und Christentum. Reihe Islam und Bildung </w:t>
      </w:r>
      <w:proofErr w:type="spellStart"/>
      <w:r w:rsidRPr="0F966AF0" w:rsidR="0F966AF0">
        <w:rPr>
          <w:rFonts w:ascii="Times Beyrut Roman" w:hAnsi="Times Beyrut Roman"/>
          <w:sz w:val="24"/>
          <w:szCs w:val="24"/>
        </w:rPr>
        <w:t>Hg</w:t>
      </w:r>
      <w:proofErr w:type="spellEnd"/>
      <w:r w:rsidRPr="0F966AF0" w:rsidR="0F966AF0">
        <w:rPr>
          <w:rFonts w:ascii="Times Beyrut Roman" w:hAnsi="Times Beyrut Roman"/>
          <w:sz w:val="24"/>
          <w:szCs w:val="24"/>
        </w:rPr>
        <w:t xml:space="preserve">. von Harry Behr. </w:t>
      </w:r>
      <w:r w:rsidRPr="0F966AF0" w:rsidR="0F966AF0">
        <w:rPr>
          <w:rFonts w:ascii="Times Beyrut Roman" w:hAnsi="Times Beyrut Roman"/>
          <w:sz w:val="24"/>
          <w:szCs w:val="24"/>
          <w:lang w:val="en-GB"/>
        </w:rPr>
        <w:t>Berlin 2016, S. 171-194.</w:t>
      </w:r>
    </w:p>
    <w:p xmlns:wp14="http://schemas.microsoft.com/office/word/2010/wordml" w:rsidRPr="00FC4A7C" w:rsidR="001F6ABB" w:rsidP="001F6ABB" w:rsidRDefault="001F6ABB" w14:paraId="5997CC1D" wp14:textId="77777777">
      <w:pPr>
        <w:spacing w:after="0"/>
        <w:jc w:val="both"/>
        <w:rPr>
          <w:rFonts w:ascii="Times Beyrut Roman" w:hAnsi="Times Beyrut Roman"/>
          <w:sz w:val="24"/>
          <w:szCs w:val="24"/>
          <w:lang w:val="en-GB"/>
        </w:rPr>
      </w:pPr>
    </w:p>
    <w:p xmlns:wp14="http://schemas.microsoft.com/office/word/2010/wordml" w:rsidRPr="00FC4A7C" w:rsidR="001F6ABB" w:rsidP="001F6ABB" w:rsidRDefault="001F6ABB" w14:paraId="04B6D403" wp14:textId="77777777">
      <w:pPr>
        <w:spacing w:after="0"/>
        <w:jc w:val="both"/>
        <w:rPr>
          <w:rFonts w:ascii="Times Beyrut Roman" w:hAnsi="Times Beyrut Roman" w:eastAsia="Times New Roman"/>
          <w:color w:val="000000" w:themeColor="text1"/>
          <w:sz w:val="24"/>
          <w:szCs w:val="24"/>
        </w:rPr>
      </w:pPr>
      <w:r w:rsidRPr="003C2027">
        <w:rPr>
          <w:rFonts w:ascii="Times Beyrut Roman" w:hAnsi="Times Beyrut Roman"/>
          <w:color w:val="000000" w:themeColor="text1"/>
          <w:sz w:val="24"/>
          <w:szCs w:val="24"/>
          <w:lang w:val="en-GB"/>
        </w:rPr>
        <w:t>Reza Hajatpour</w:t>
      </w:r>
      <w:r w:rsidRPr="003C2027">
        <w:rPr>
          <w:rFonts w:ascii="Times Beyrut Roman" w:hAnsi="Times Beyrut Roman" w:cs="Tahoma"/>
          <w:color w:val="000000" w:themeColor="text1"/>
          <w:sz w:val="24"/>
          <w:szCs w:val="24"/>
          <w:lang w:val="en-US"/>
        </w:rPr>
        <w:t xml:space="preserve">: The </w:t>
      </w:r>
      <w:proofErr w:type="gramStart"/>
      <w:r w:rsidRPr="003C2027">
        <w:rPr>
          <w:rFonts w:ascii="Times Beyrut Roman" w:hAnsi="Times Beyrut Roman"/>
          <w:color w:val="000000" w:themeColor="text1"/>
          <w:sz w:val="24"/>
          <w:szCs w:val="24"/>
          <w:lang w:val="en-GB"/>
        </w:rPr>
        <w:t>The</w:t>
      </w:r>
      <w:proofErr w:type="gramEnd"/>
      <w:r w:rsidRPr="003C2027">
        <w:rPr>
          <w:rFonts w:ascii="Times Beyrut Roman" w:hAnsi="Times Beyrut Roman"/>
          <w:color w:val="000000" w:themeColor="text1"/>
          <w:sz w:val="24"/>
          <w:szCs w:val="24"/>
          <w:lang w:val="en-GB"/>
        </w:rPr>
        <w:t xml:space="preserve"> Twelver Shia</w:t>
      </w:r>
      <w:r w:rsidRPr="003C2027">
        <w:rPr>
          <w:rFonts w:ascii="Times Beyrut Roman" w:hAnsi="Times Beyrut Roman" w:cs="Tahoma"/>
          <w:color w:val="000000" w:themeColor="text1"/>
          <w:sz w:val="24"/>
          <w:szCs w:val="24"/>
          <w:lang w:val="en-US"/>
        </w:rPr>
        <w:t xml:space="preserve"> - Theological Characteristics. In: </w:t>
      </w:r>
      <w:r w:rsidRPr="003C2027">
        <w:rPr>
          <w:rFonts w:ascii="Times Beyrut Roman" w:hAnsi="Times Beyrut Roman"/>
          <w:color w:val="000000" w:themeColor="text1"/>
          <w:sz w:val="24"/>
          <w:szCs w:val="24"/>
          <w:lang w:val="en-US"/>
        </w:rPr>
        <w:t xml:space="preserve">Abbas </w:t>
      </w:r>
      <w:proofErr w:type="spellStart"/>
      <w:r w:rsidRPr="003C2027">
        <w:rPr>
          <w:rFonts w:ascii="Times Beyrut Roman" w:hAnsi="Times Beyrut Roman"/>
          <w:color w:val="000000" w:themeColor="text1"/>
          <w:sz w:val="24"/>
          <w:szCs w:val="24"/>
          <w:lang w:val="en-US"/>
        </w:rPr>
        <w:t>Poya</w:t>
      </w:r>
      <w:proofErr w:type="spellEnd"/>
      <w:r w:rsidRPr="003C2027">
        <w:rPr>
          <w:rFonts w:ascii="Times Beyrut Roman" w:hAnsi="Times Beyrut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Pr="003C2027">
        <w:rPr>
          <w:rFonts w:ascii="Times Beyrut Roman" w:hAnsi="Times Beyrut Roman"/>
          <w:color w:val="000000" w:themeColor="text1"/>
          <w:sz w:val="24"/>
          <w:szCs w:val="24"/>
          <w:lang w:val="en-US"/>
        </w:rPr>
        <w:t>Farid</w:t>
      </w:r>
      <w:proofErr w:type="spellEnd"/>
      <w:r w:rsidRPr="003C2027">
        <w:rPr>
          <w:rFonts w:ascii="Times Beyrut Roman" w:hAnsi="Times Beyrut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2027">
        <w:rPr>
          <w:rFonts w:ascii="Times Beyrut Roman" w:hAnsi="Times Beyrut Roman"/>
          <w:color w:val="000000" w:themeColor="text1"/>
          <w:sz w:val="24"/>
          <w:szCs w:val="24"/>
          <w:lang w:val="en-US"/>
        </w:rPr>
        <w:t>Sulaeiman</w:t>
      </w:r>
      <w:proofErr w:type="spellEnd"/>
      <w:r w:rsidRPr="003C2027">
        <w:rPr>
          <w:rFonts w:ascii="Times Beyrut Roman" w:hAnsi="Times Beyrut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3C2027">
        <w:rPr>
          <w:rFonts w:ascii="Times Beyrut Roman" w:hAnsi="Times Beyrut Roman"/>
          <w:color w:val="000000" w:themeColor="text1"/>
          <w:sz w:val="24"/>
          <w:szCs w:val="24"/>
          <w:lang w:val="en-US"/>
        </w:rPr>
        <w:t>Hrsg</w:t>
      </w:r>
      <w:proofErr w:type="spellEnd"/>
      <w:r w:rsidRPr="003C2027">
        <w:rPr>
          <w:rFonts w:ascii="Times Beyrut Roman" w:hAnsi="Times Beyrut Roman"/>
          <w:color w:val="000000" w:themeColor="text1"/>
          <w:sz w:val="24"/>
          <w:szCs w:val="24"/>
          <w:lang w:val="en-US"/>
        </w:rPr>
        <w:t xml:space="preserve">.): </w:t>
      </w:r>
      <w:r w:rsidRPr="003C2027">
        <w:rPr>
          <w:rFonts w:ascii="Times Beyrut Roman" w:hAnsi="Times Beyrut Roman" w:eastAsia="Times New Roman" w:cs="Times New Roman"/>
          <w:color w:val="000000" w:themeColor="text1"/>
          <w:sz w:val="24"/>
          <w:szCs w:val="24"/>
          <w:lang w:val="en-GB" w:eastAsia="de-DE"/>
        </w:rPr>
        <w:t xml:space="preserve">Unity and Diversity in Contemporary Muslim Thought. </w:t>
      </w:r>
      <w:r w:rsidRPr="003C2027">
        <w:rPr>
          <w:rFonts w:ascii="Times Beyrut Roman" w:hAnsi="Times Beyrut Roman"/>
          <w:color w:val="000000" w:themeColor="text1"/>
          <w:sz w:val="24"/>
          <w:szCs w:val="24"/>
        </w:rPr>
        <w:t xml:space="preserve">Cambridge </w:t>
      </w:r>
      <w:proofErr w:type="spellStart"/>
      <w:r w:rsidRPr="003C2027">
        <w:rPr>
          <w:rFonts w:ascii="Times Beyrut Roman" w:hAnsi="Times Beyrut Roman"/>
          <w:color w:val="000000" w:themeColor="text1"/>
          <w:sz w:val="24"/>
          <w:szCs w:val="24"/>
        </w:rPr>
        <w:t>Scholars</w:t>
      </w:r>
      <w:proofErr w:type="spellEnd"/>
      <w:r w:rsidRPr="003C2027">
        <w:rPr>
          <w:rFonts w:ascii="Times Beyrut Roman" w:hAnsi="Times Beyrut Roman"/>
          <w:color w:val="000000" w:themeColor="text1"/>
          <w:sz w:val="24"/>
          <w:szCs w:val="24"/>
        </w:rPr>
        <w:t xml:space="preserve"> Publishing United </w:t>
      </w:r>
      <w:proofErr w:type="spellStart"/>
      <w:r w:rsidRPr="003C2027">
        <w:rPr>
          <w:rFonts w:ascii="Times Beyrut Roman" w:hAnsi="Times Beyrut Roman"/>
          <w:color w:val="000000" w:themeColor="text1"/>
          <w:sz w:val="24"/>
          <w:szCs w:val="24"/>
        </w:rPr>
        <w:t>Kingdom</w:t>
      </w:r>
      <w:proofErr w:type="spellEnd"/>
      <w:r w:rsidRPr="003C2027">
        <w:rPr>
          <w:rFonts w:ascii="Times Beyrut Roman" w:hAnsi="Times Beyrut Roman"/>
          <w:color w:val="000000" w:themeColor="text1"/>
          <w:sz w:val="24"/>
          <w:szCs w:val="24"/>
        </w:rPr>
        <w:t xml:space="preserve"> </w:t>
      </w:r>
      <w:r w:rsidRPr="00FC4A7C">
        <w:rPr>
          <w:rFonts w:ascii="Times Beyrut Roman" w:hAnsi="Times Beyrut Roman" w:eastAsia="Times New Roman"/>
          <w:color w:val="000000" w:themeColor="text1"/>
          <w:sz w:val="24"/>
          <w:szCs w:val="24"/>
        </w:rPr>
        <w:t xml:space="preserve">2017, S. 134-150. </w:t>
      </w:r>
    </w:p>
    <w:p xmlns:wp14="http://schemas.microsoft.com/office/word/2010/wordml" w:rsidRPr="00FC4A7C" w:rsidR="00E91B32" w:rsidP="001F6ABB" w:rsidRDefault="00E91B32" w14:paraId="110FFD37" wp14:textId="77777777">
      <w:pPr>
        <w:spacing w:after="0"/>
        <w:jc w:val="both"/>
        <w:rPr>
          <w:rFonts w:ascii="Times Beyrut Roman" w:hAnsi="Times Beyrut Roman" w:eastAsia="Times New Roman"/>
          <w:color w:val="000000" w:themeColor="text1"/>
          <w:sz w:val="24"/>
          <w:szCs w:val="24"/>
        </w:rPr>
      </w:pPr>
    </w:p>
    <w:p xmlns:wp14="http://schemas.microsoft.com/office/word/2010/wordml" w:rsidRPr="00F2267F" w:rsidR="00E91B32" w:rsidP="00E91B32" w:rsidRDefault="00E91B32" w14:paraId="53F8AA2B" wp14:textId="77777777">
      <w:pPr>
        <w:spacing w:after="0"/>
        <w:jc w:val="both"/>
        <w:rPr>
          <w:rFonts w:eastAsia="Calibri" w:asciiTheme="majorBidi" w:hAnsiTheme="majorBidi" w:cstheme="majorBidi"/>
          <w:color w:val="000000"/>
          <w:sz w:val="24"/>
          <w:szCs w:val="24"/>
        </w:rPr>
      </w:pPr>
      <w:r w:rsidRPr="00F2267F">
        <w:rPr>
          <w:rFonts w:eastAsia="Calibri" w:asciiTheme="majorBidi" w:hAnsiTheme="majorBidi" w:cstheme="majorBidi"/>
          <w:color w:val="000000"/>
          <w:sz w:val="24"/>
          <w:szCs w:val="24"/>
        </w:rPr>
        <w:t xml:space="preserve">Reza Hajatpour: Monismus und monistische Positionen im Islam. In: Bernhard Nitsche/Klaus von </w:t>
      </w:r>
      <w:proofErr w:type="spellStart"/>
      <w:r w:rsidRPr="00F2267F">
        <w:rPr>
          <w:rFonts w:eastAsia="Calibri" w:asciiTheme="majorBidi" w:hAnsiTheme="majorBidi" w:cstheme="majorBidi"/>
          <w:color w:val="000000"/>
          <w:sz w:val="24"/>
          <w:szCs w:val="24"/>
        </w:rPr>
        <w:t>Stosch</w:t>
      </w:r>
      <w:proofErr w:type="spellEnd"/>
      <w:r w:rsidRPr="00F2267F">
        <w:rPr>
          <w:rFonts w:eastAsia="Calibri" w:asciiTheme="majorBidi" w:hAnsiTheme="majorBidi" w:cstheme="majorBidi"/>
          <w:color w:val="000000"/>
          <w:sz w:val="24"/>
          <w:szCs w:val="24"/>
        </w:rPr>
        <w:t>/</w:t>
      </w:r>
      <w:proofErr w:type="spellStart"/>
      <w:r w:rsidRPr="00F2267F">
        <w:rPr>
          <w:rFonts w:eastAsia="Calibri" w:asciiTheme="majorBidi" w:hAnsiTheme="majorBidi" w:cstheme="majorBidi"/>
          <w:color w:val="000000"/>
          <w:sz w:val="24"/>
          <w:szCs w:val="24"/>
        </w:rPr>
        <w:t>Muna</w:t>
      </w:r>
      <w:proofErr w:type="spellEnd"/>
      <w:r w:rsidRPr="00F2267F">
        <w:rPr>
          <w:rFonts w:eastAsia="Calibri"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F2267F">
        <w:rPr>
          <w:rFonts w:eastAsia="Calibri" w:asciiTheme="majorBidi" w:hAnsiTheme="majorBidi" w:cstheme="majorBidi"/>
          <w:color w:val="000000"/>
          <w:sz w:val="24"/>
          <w:szCs w:val="24"/>
        </w:rPr>
        <w:t>Tatari</w:t>
      </w:r>
      <w:proofErr w:type="spellEnd"/>
      <w:r w:rsidRPr="00F2267F">
        <w:rPr>
          <w:rFonts w:eastAsia="Calibri" w:asciiTheme="majorBidi" w:hAnsiTheme="majorBidi" w:cstheme="majorBidi"/>
          <w:color w:val="000000"/>
          <w:sz w:val="24"/>
          <w:szCs w:val="24"/>
        </w:rPr>
        <w:t xml:space="preserve"> (Hrsg.): Gott - jenseits von Monismus und Theismus? Ferdinand Schöningh, Paderborn 2017, S. 137-152. </w:t>
      </w:r>
    </w:p>
    <w:p xmlns:wp14="http://schemas.microsoft.com/office/word/2010/wordml" w:rsidRPr="00F2267F" w:rsidR="00D66C70" w:rsidP="00E91B32" w:rsidRDefault="00D66C70" w14:paraId="6B699379" wp14:textId="77777777">
      <w:pPr>
        <w:spacing w:after="0"/>
        <w:jc w:val="both"/>
        <w:rPr>
          <w:rFonts w:eastAsia="Calibri" w:asciiTheme="majorBidi" w:hAnsiTheme="majorBidi" w:cstheme="majorBidi"/>
          <w:color w:val="000000"/>
          <w:sz w:val="24"/>
          <w:szCs w:val="24"/>
        </w:rPr>
      </w:pPr>
    </w:p>
    <w:p xmlns:wp14="http://schemas.microsoft.com/office/word/2010/wordml" w:rsidRPr="00F2267F" w:rsidR="00D66C70" w:rsidP="0F966AF0" w:rsidRDefault="00D66C70" w14:paraId="5FA7CF34" wp14:textId="443B272A">
      <w:pPr>
        <w:pStyle w:val="xmsonormal"/>
        <w:spacing w:before="0" w:beforeAutospacing="off" w:after="0" w:afterAutospacing="off" w:line="276" w:lineRule="auto"/>
        <w:jc w:val="both"/>
        <w:rPr>
          <w:rFonts w:ascii="Times New Roman" w:hAnsi="Times New Roman" w:cs="Times New Roman" w:asciiTheme="majorBidi" w:hAnsiTheme="majorBidi" w:cstheme="majorBidi"/>
        </w:rPr>
      </w:pPr>
      <w:r w:rsidRPr="0F966AF0" w:rsidR="0F966AF0">
        <w:rPr>
          <w:rFonts w:ascii="Times New Roman" w:hAnsi="Times New Roman" w:cs="Times New Roman" w:asciiTheme="majorBidi" w:hAnsiTheme="majorBidi" w:cstheme="majorBidi"/>
        </w:rPr>
        <w:t xml:space="preserve">Reza </w:t>
      </w:r>
      <w:r w:rsidRPr="0F966AF0" w:rsidR="0F966AF0">
        <w:rPr>
          <w:noProof w:val="0"/>
          <w:sz w:val="24"/>
          <w:szCs w:val="24"/>
          <w:lang w:val="de-DE"/>
        </w:rPr>
        <w:t>Hajatpour</w:t>
      </w:r>
      <w:r w:rsidRPr="0F966AF0" w:rsidR="0F966AF0">
        <w:rPr>
          <w:rFonts w:ascii="Times New Roman" w:hAnsi="Times New Roman" w:cs="Times New Roman" w:asciiTheme="majorBidi" w:hAnsiTheme="majorBidi" w:cstheme="majorBidi"/>
        </w:rPr>
        <w:t>: Der poetische Pfad zu Gott, in: HERDER KORRE SP ONDEN Monatsheft für Gesellschaft und Religion 72 Jahrgang Juli 2018 Z X /20 15, S. 38-42.</w:t>
      </w:r>
    </w:p>
    <w:p xmlns:wp14="http://schemas.microsoft.com/office/word/2010/wordml" w:rsidRPr="00F2267F" w:rsidR="00D66C70" w:rsidP="00D66C70" w:rsidRDefault="00D66C70" w14:paraId="3FE9F23F" wp14:textId="77777777">
      <w:pPr>
        <w:pStyle w:val="xmsonormal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</w:p>
    <w:p xmlns:wp14="http://schemas.microsoft.com/office/word/2010/wordml" w:rsidRPr="00F2267F" w:rsidR="00D66C70" w:rsidP="0F966AF0" w:rsidRDefault="00D66C70" w14:paraId="137C3DE8" wp14:textId="2C7351CC">
      <w:pPr>
        <w:pStyle w:val="xmsonormal"/>
        <w:spacing w:before="0" w:beforeAutospacing="off" w:after="0" w:afterAutospacing="off" w:line="276" w:lineRule="auto"/>
        <w:jc w:val="both"/>
        <w:rPr>
          <w:rFonts w:ascii="Times New Roman" w:hAnsi="Times New Roman" w:cs="Times New Roman" w:asciiTheme="majorBidi" w:hAnsiTheme="majorBidi" w:cstheme="majorBidi"/>
        </w:rPr>
      </w:pPr>
      <w:r w:rsidRPr="0F966AF0" w:rsidR="0F966AF0">
        <w:rPr>
          <w:rFonts w:ascii="Times New Roman" w:hAnsi="Times New Roman" w:cs="Times New Roman" w:asciiTheme="majorBidi" w:hAnsiTheme="majorBidi" w:cstheme="majorBidi"/>
        </w:rPr>
        <w:t xml:space="preserve">Reza </w:t>
      </w:r>
      <w:r w:rsidRPr="0F966AF0" w:rsidR="0F966AF0">
        <w:rPr>
          <w:noProof w:val="0"/>
          <w:sz w:val="24"/>
          <w:szCs w:val="24"/>
          <w:lang w:val="de-DE"/>
        </w:rPr>
        <w:t>Hajatpour</w:t>
      </w:r>
      <w:r w:rsidRPr="0F966AF0" w:rsidR="0F966AF0">
        <w:rPr>
          <w:rFonts w:ascii="Times New Roman" w:hAnsi="Times New Roman" w:cs="Times New Roman" w:asciiTheme="majorBidi" w:hAnsiTheme="majorBidi" w:cstheme="majorBidi"/>
        </w:rPr>
        <w:t>: Die Kontroverse zwischen islamischer Mystik und Theologie bezüglich der Glaubensinhalte, in: Erdal Toprakyaran, Hansjörg Schmid, Christian Ströbele (</w:t>
      </w:r>
      <w:proofErr w:type="spellStart"/>
      <w:r w:rsidRPr="0F966AF0" w:rsidR="0F966AF0">
        <w:rPr>
          <w:rFonts w:ascii="Times New Roman" w:hAnsi="Times New Roman" w:cs="Times New Roman" w:asciiTheme="majorBidi" w:hAnsiTheme="majorBidi" w:cstheme="majorBidi"/>
        </w:rPr>
        <w:t>Hg</w:t>
      </w:r>
      <w:proofErr w:type="spellEnd"/>
      <w:r w:rsidRPr="0F966AF0" w:rsidR="0F966AF0">
        <w:rPr>
          <w:rFonts w:ascii="Times New Roman" w:hAnsi="Times New Roman" w:cs="Times New Roman" w:asciiTheme="majorBidi" w:hAnsiTheme="majorBidi" w:cstheme="majorBidi"/>
        </w:rPr>
        <w:t>.): Dem Einen entgegen. Christliche und islamische Mystik in historischer Perspektive. Freiburg 2018, S. 27-44.</w:t>
      </w:r>
    </w:p>
    <w:p xmlns:wp14="http://schemas.microsoft.com/office/word/2010/wordml" w:rsidRPr="00F2267F" w:rsidR="00D66C70" w:rsidP="00D66C70" w:rsidRDefault="00D66C70" w14:paraId="1F72F646" wp14:textId="77777777">
      <w:pPr>
        <w:pStyle w:val="xmsonormal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</w:p>
    <w:p xmlns:wp14="http://schemas.microsoft.com/office/word/2010/wordml" w:rsidRPr="00F2267F" w:rsidR="00D66C70" w:rsidP="0F966AF0" w:rsidRDefault="00D66C70" w14:paraId="5C7E1682" wp14:textId="117D3270">
      <w:pPr>
        <w:pStyle w:val="xmsonormal"/>
        <w:spacing w:before="0" w:beforeAutospacing="off" w:after="0" w:afterAutospacing="off" w:line="276" w:lineRule="auto"/>
        <w:jc w:val="both"/>
        <w:rPr>
          <w:rFonts w:ascii="Times New Roman" w:hAnsi="Times New Roman" w:cs="Times New Roman" w:asciiTheme="majorBidi" w:hAnsiTheme="majorBidi" w:cstheme="majorBidi"/>
        </w:rPr>
      </w:pPr>
      <w:r w:rsidRPr="0F966AF0" w:rsidR="0F966AF0">
        <w:rPr>
          <w:rFonts w:ascii="Times New Roman" w:hAnsi="Times New Roman" w:cs="Times New Roman" w:asciiTheme="majorBidi" w:hAnsiTheme="majorBidi" w:cstheme="majorBidi"/>
        </w:rPr>
        <w:t xml:space="preserve">Reza </w:t>
      </w:r>
      <w:r w:rsidRPr="0F966AF0" w:rsidR="0F966AF0">
        <w:rPr>
          <w:noProof w:val="0"/>
          <w:sz w:val="24"/>
          <w:szCs w:val="24"/>
          <w:lang w:val="de-DE"/>
        </w:rPr>
        <w:t>Hajatpour</w:t>
      </w:r>
      <w:r w:rsidRPr="0F966AF0" w:rsidR="0F966AF0">
        <w:rPr>
          <w:rFonts w:ascii="Times New Roman" w:hAnsi="Times New Roman" w:cs="Times New Roman" w:asciiTheme="majorBidi" w:hAnsiTheme="majorBidi" w:cstheme="majorBidi"/>
        </w:rPr>
        <w:t>: Muslime in Deutschland – Für eine Philosophie der Anerkennung der Differenzen, in:  Amir Dziri und Bacem Dziri (</w:t>
      </w:r>
      <w:proofErr w:type="spellStart"/>
      <w:r w:rsidRPr="0F966AF0" w:rsidR="0F966AF0">
        <w:rPr>
          <w:rFonts w:ascii="Times New Roman" w:hAnsi="Times New Roman" w:cs="Times New Roman" w:asciiTheme="majorBidi" w:hAnsiTheme="majorBidi" w:cstheme="majorBidi"/>
        </w:rPr>
        <w:t>Hg</w:t>
      </w:r>
      <w:proofErr w:type="spellEnd"/>
      <w:r w:rsidRPr="0F966AF0" w:rsidR="0F966AF0">
        <w:rPr>
          <w:rFonts w:ascii="Times New Roman" w:hAnsi="Times New Roman" w:cs="Times New Roman" w:asciiTheme="majorBidi" w:hAnsiTheme="majorBidi" w:cstheme="majorBidi"/>
        </w:rPr>
        <w:t>.): Aufbruch statt Abbruch. Religion und Werte in einer pluralen Gesellschaft. Freiburg 2018, S.266-283.</w:t>
      </w:r>
    </w:p>
    <w:p xmlns:wp14="http://schemas.microsoft.com/office/word/2010/wordml" w:rsidRPr="00F2267F" w:rsidR="00D66C70" w:rsidP="00D66C70" w:rsidRDefault="00D66C70" w14:paraId="08CE6F91" wp14:textId="77777777">
      <w:pPr>
        <w:pStyle w:val="xmsonormal"/>
        <w:spacing w:before="0" w:beforeAutospacing="0" w:after="0" w:afterAutospacing="0" w:line="276" w:lineRule="auto"/>
        <w:jc w:val="both"/>
        <w:rPr>
          <w:rFonts w:asciiTheme="majorBidi" w:hAnsiTheme="majorBidi" w:cstheme="majorBidi"/>
        </w:rPr>
      </w:pPr>
    </w:p>
    <w:p xmlns:wp14="http://schemas.microsoft.com/office/word/2010/wordml" w:rsidRPr="002117EE" w:rsidR="00D66C70" w:rsidP="0289C736" w:rsidRDefault="00D66C70" w14:paraId="2E990A7B" wp14:textId="6F36F676">
      <w:pPr>
        <w:pStyle w:val="xmsonormal"/>
        <w:spacing w:before="0" w:beforeAutospacing="off" w:after="0" w:afterAutospacing="off" w:line="276" w:lineRule="auto"/>
        <w:jc w:val="both"/>
        <w:rPr>
          <w:rFonts w:ascii="Times New Roman" w:hAnsi="Times New Roman" w:cs="Times New Roman" w:asciiTheme="majorBidi" w:hAnsiTheme="majorBidi" w:cstheme="majorBidi"/>
        </w:rPr>
      </w:pPr>
      <w:r w:rsidRPr="0F966AF0" w:rsidR="0F966AF0">
        <w:rPr>
          <w:rFonts w:ascii="Times New Roman" w:hAnsi="Times New Roman" w:cs="Times New Roman" w:asciiTheme="majorBidi" w:hAnsiTheme="majorBidi" w:cstheme="majorBidi"/>
        </w:rPr>
        <w:t xml:space="preserve">Reza </w:t>
      </w:r>
      <w:r w:rsidRPr="0F966AF0" w:rsidR="0F966AF0">
        <w:rPr>
          <w:noProof w:val="0"/>
          <w:sz w:val="24"/>
          <w:szCs w:val="24"/>
          <w:lang w:val="de-DE"/>
        </w:rPr>
        <w:t>Hajatpour</w:t>
      </w:r>
      <w:r w:rsidRPr="0F966AF0" w:rsidR="0F966AF0">
        <w:rPr>
          <w:rFonts w:ascii="Times New Roman" w:hAnsi="Times New Roman" w:cs="Times New Roman" w:asciiTheme="majorBidi" w:hAnsiTheme="majorBidi" w:cstheme="majorBidi"/>
        </w:rPr>
        <w:t>: Was ist das Wesen der Philosophie im Islam? Eine ideengeschichtliche Spurensuche, in: Ahmad Milad Karimi (Hg.) </w:t>
      </w:r>
      <w:proofErr w:type="spellStart"/>
      <w:r w:rsidRPr="0F966AF0" w:rsidR="0F966AF0">
        <w:rPr>
          <w:rFonts w:ascii="Times New Roman" w:hAnsi="Times New Roman" w:cs="Times New Roman" w:asciiTheme="majorBidi" w:hAnsiTheme="majorBidi" w:cstheme="majorBidi"/>
        </w:rPr>
        <w:t>falsafa</w:t>
      </w:r>
      <w:proofErr w:type="spellEnd"/>
      <w:r w:rsidRPr="0F966AF0" w:rsidR="0F966AF0">
        <w:rPr>
          <w:rFonts w:ascii="Times New Roman" w:hAnsi="Times New Roman" w:cs="Times New Roman" w:asciiTheme="majorBidi" w:hAnsiTheme="majorBidi" w:cstheme="majorBidi"/>
        </w:rPr>
        <w:t>. </w:t>
      </w:r>
      <w:proofErr w:type="spellStart"/>
      <w:r w:rsidRPr="0F966AF0" w:rsidR="0F966AF0">
        <w:rPr>
          <w:rFonts w:ascii="Times New Roman" w:hAnsi="Times New Roman" w:cs="Times New Roman" w:asciiTheme="majorBidi" w:hAnsiTheme="majorBidi" w:cstheme="majorBidi"/>
          <w:lang w:val="en-GB"/>
        </w:rPr>
        <w:t>Jahrbuch</w:t>
      </w:r>
      <w:proofErr w:type="spellEnd"/>
      <w:r w:rsidRPr="0F966AF0" w:rsidR="0F966AF0">
        <w:rPr>
          <w:rFonts w:ascii="Times New Roman" w:hAnsi="Times New Roman" w:cs="Times New Roman" w:asciiTheme="majorBidi" w:hAnsiTheme="majorBidi" w:cstheme="majorBidi"/>
          <w:lang w:val="en-GB"/>
        </w:rPr>
        <w:t xml:space="preserve"> für </w:t>
      </w:r>
      <w:proofErr w:type="spellStart"/>
      <w:r w:rsidRPr="0F966AF0" w:rsidR="0F966AF0">
        <w:rPr>
          <w:rFonts w:ascii="Times New Roman" w:hAnsi="Times New Roman" w:cs="Times New Roman" w:asciiTheme="majorBidi" w:hAnsiTheme="majorBidi" w:cstheme="majorBidi"/>
          <w:lang w:val="en-GB"/>
        </w:rPr>
        <w:t>islamische</w:t>
      </w:r>
      <w:proofErr w:type="spellEnd"/>
      <w:r w:rsidRPr="0F966AF0" w:rsidR="0F966AF0">
        <w:rPr>
          <w:rFonts w:ascii="Times New Roman" w:hAnsi="Times New Roman" w:cs="Times New Roman" w:asciiTheme="majorBidi" w:hAnsiTheme="majorBidi" w:cstheme="majorBidi"/>
          <w:lang w:val="en-GB"/>
        </w:rPr>
        <w:t xml:space="preserve"> </w:t>
      </w:r>
      <w:proofErr w:type="spellStart"/>
      <w:r w:rsidRPr="0F966AF0" w:rsidR="0F966AF0">
        <w:rPr>
          <w:rFonts w:ascii="Times New Roman" w:hAnsi="Times New Roman" w:cs="Times New Roman" w:asciiTheme="majorBidi" w:hAnsiTheme="majorBidi" w:cstheme="majorBidi"/>
          <w:lang w:val="en-GB"/>
        </w:rPr>
        <w:t>Religionsphilosophie</w:t>
      </w:r>
      <w:proofErr w:type="spellEnd"/>
      <w:r w:rsidRPr="0F966AF0" w:rsidR="0F966AF0">
        <w:rPr>
          <w:rFonts w:ascii="Times New Roman" w:hAnsi="Times New Roman" w:cs="Times New Roman" w:asciiTheme="majorBidi" w:hAnsiTheme="majorBidi" w:cstheme="majorBidi"/>
          <w:lang w:val="en-GB"/>
        </w:rPr>
        <w:t xml:space="preserve"> / Yearbook for Islamic Philosophy of Religion. </w:t>
      </w:r>
      <w:r w:rsidRPr="0F966AF0" w:rsidR="0F966AF0">
        <w:rPr>
          <w:rFonts w:ascii="Times New Roman" w:hAnsi="Times New Roman" w:cs="Times New Roman" w:asciiTheme="majorBidi" w:hAnsiTheme="majorBidi" w:cstheme="majorBidi"/>
        </w:rPr>
        <w:t>Freiburg 2018, S. 156-183.</w:t>
      </w:r>
    </w:p>
    <w:p w:rsidR="0289C736" w:rsidP="0289C736" w:rsidRDefault="0289C736" w14:paraId="7E65808E" w14:textId="30309A85">
      <w:pPr>
        <w:pStyle w:val="xmsonormal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289C736" w:rsidP="0289C736" w:rsidRDefault="0289C736" w14:paraId="554142A7" w14:textId="5B04EF9B">
      <w:pPr>
        <w:pStyle w:val="xmsonormal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F966AF0" w:rsidR="0F966AF0">
        <w:rPr>
          <w:rFonts w:ascii="Times New Roman" w:hAnsi="Times New Roman" w:eastAsia="Times New Roman" w:cs="Times New Roman"/>
          <w:sz w:val="24"/>
          <w:szCs w:val="24"/>
        </w:rPr>
        <w:t xml:space="preserve">Reza </w:t>
      </w:r>
      <w:proofErr w:type="spellStart"/>
      <w:r w:rsidRPr="0F966AF0" w:rsidR="0F966AF0">
        <w:rPr>
          <w:rFonts w:ascii="Times New Roman" w:hAnsi="Times New Roman" w:eastAsia="Times New Roman" w:cs="Times New Roman"/>
          <w:sz w:val="24"/>
          <w:szCs w:val="24"/>
        </w:rPr>
        <w:t>Hajatpour</w:t>
      </w:r>
      <w:proofErr w:type="spellEnd"/>
      <w:r w:rsidRPr="0F966AF0" w:rsidR="0F966AF0">
        <w:rPr>
          <w:rFonts w:ascii="Times New Roman" w:hAnsi="Times New Roman" w:eastAsia="Times New Roman" w:cs="Times New Roman"/>
          <w:sz w:val="24"/>
          <w:szCs w:val="24"/>
        </w:rPr>
        <w:t xml:space="preserve">: Lehr- und Lernpraktiken in der </w:t>
      </w:r>
      <w:proofErr w:type="spellStart"/>
      <w:r w:rsidRPr="0F966AF0" w:rsidR="0F966AF0">
        <w:rPr>
          <w:rFonts w:ascii="Times New Roman" w:hAnsi="Times New Roman" w:eastAsia="Times New Roman" w:cs="Times New Roman"/>
          <w:sz w:val="24"/>
          <w:szCs w:val="24"/>
        </w:rPr>
        <w:t>ḥauze</w:t>
      </w:r>
      <w:proofErr w:type="spellEnd"/>
      <w:r w:rsidRPr="0F966AF0" w:rsidR="0F966AF0">
        <w:rPr>
          <w:rFonts w:ascii="Times New Roman" w:hAnsi="Times New Roman" w:eastAsia="Times New Roman" w:cs="Times New Roman"/>
          <w:sz w:val="24"/>
          <w:szCs w:val="24"/>
        </w:rPr>
        <w:t xml:space="preserve"> vor und nach der Islamischen Revolution, In: Abbas </w:t>
      </w:r>
      <w:proofErr w:type="spellStart"/>
      <w:r w:rsidRPr="0F966AF0" w:rsidR="0F966AF0">
        <w:rPr>
          <w:rFonts w:ascii="Times New Roman" w:hAnsi="Times New Roman" w:eastAsia="Times New Roman" w:cs="Times New Roman"/>
          <w:sz w:val="24"/>
          <w:szCs w:val="24"/>
        </w:rPr>
        <w:t>Poya</w:t>
      </w:r>
      <w:proofErr w:type="spellEnd"/>
      <w:r w:rsidRPr="0F966AF0" w:rsidR="0F966AF0">
        <w:rPr>
          <w:rFonts w:ascii="Times New Roman" w:hAnsi="Times New Roman" w:eastAsia="Times New Roman" w:cs="Times New Roman"/>
          <w:sz w:val="24"/>
          <w:szCs w:val="24"/>
        </w:rPr>
        <w:t>, Farid Suleiman und Benjamin Weineck (Hg.) Bildungskulturen im Islam. Islamische Theologie lehren und lernen. De Gruyter, Berlin 2021. S. 259-276.</w:t>
      </w:r>
      <w:proofErr w:type="spellStart"/>
      <w:proofErr w:type="spellEnd"/>
      <w:proofErr w:type="spellStart"/>
      <w:proofErr w:type="spellEnd"/>
    </w:p>
    <w:p w:rsidR="0289C736" w:rsidP="0289C736" w:rsidRDefault="0289C736" w14:paraId="72F3F9EE" w14:textId="71004B3C">
      <w:pPr>
        <w:pStyle w:val="xmsonormal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289C736" w:rsidP="0289C736" w:rsidRDefault="0289C736" w14:paraId="1151AFC4" w14:textId="2E62E1AF">
      <w:pPr>
        <w:pStyle w:val="xmsonormal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F966AF0" w:rsidR="0F966AF0">
        <w:rPr>
          <w:rFonts w:ascii="Times New Roman" w:hAnsi="Times New Roman" w:eastAsia="Times New Roman" w:cs="Times New Roman"/>
          <w:sz w:val="24"/>
          <w:szCs w:val="24"/>
        </w:rPr>
        <w:t>Reza Hajatpour: Theologische, philosophische und mystische Zugänge zur islamischen Ethik, in: Erdnan Aslan (Hg. 2021): Handbuch islamische Religionspädagogik. Göttingen: Brill V&amp;R unipress. S. 711-730.</w:t>
      </w:r>
      <w:proofErr w:type="spellStart"/>
      <w:proofErr w:type="spellEnd"/>
    </w:p>
    <w:p xmlns:wp14="http://schemas.microsoft.com/office/word/2010/wordml" w:rsidRPr="002117EE" w:rsidR="009C7B9D" w:rsidP="009C7B9D" w:rsidRDefault="009C7B9D" w14:paraId="61CDCEAD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2117EE" w:rsidR="009C7B9D" w:rsidP="009C7B9D" w:rsidRDefault="009C7B9D" w14:paraId="2D759625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  <w:r w:rsidRPr="002117EE"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  <w:t>Lexikonartikel:</w:t>
      </w:r>
    </w:p>
    <w:p xmlns:wp14="http://schemas.microsoft.com/office/word/2010/wordml" w:rsidRPr="002117EE" w:rsidR="009C7B9D" w:rsidP="009C7B9D" w:rsidRDefault="009C7B9D" w14:paraId="6BB9E253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2D0CE8" w14:paraId="6D12F7EC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</w:pPr>
      <w:r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Reza </w:t>
      </w:r>
      <w:proofErr w:type="spellStart"/>
      <w:r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Hajatpour</w:t>
      </w:r>
      <w:proofErr w:type="spellEnd"/>
      <w:r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: </w:t>
      </w:r>
      <w:proofErr w:type="spellStart"/>
      <w:r w:rsidRPr="003C2027" w:rsidR="009C7B9D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U</w:t>
      </w:r>
      <w:r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baid</w:t>
      </w:r>
      <w:proofErr w:type="spellEnd"/>
      <w:r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-i </w:t>
      </w:r>
      <w:proofErr w:type="spellStart"/>
      <w:r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Zak</w:t>
      </w:r>
      <w:r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a</w:t>
      </w:r>
      <w:r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n</w:t>
      </w:r>
      <w:r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i</w:t>
      </w:r>
      <w:proofErr w:type="spellEnd"/>
      <w:r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(eig. </w:t>
      </w:r>
      <w:proofErr w:type="spellStart"/>
      <w:r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Niz</w:t>
      </w:r>
      <w:r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a</w:t>
      </w:r>
      <w:r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muddin</w:t>
      </w:r>
      <w:proofErr w:type="spellEnd"/>
      <w:r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Ubaidall</w:t>
      </w:r>
      <w:r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a</w:t>
      </w:r>
      <w:proofErr w:type="spellEnd"/>
      <w:r w:rsidRPr="003C2027" w:rsidR="009C7B9D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h aus </w:t>
      </w:r>
      <w:proofErr w:type="spellStart"/>
      <w:r w:rsidRPr="003C2027" w:rsidR="009C7B9D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Qazwin</w:t>
      </w:r>
      <w:proofErr w:type="spellEnd"/>
      <w:r w:rsidRPr="003C2027" w:rsidR="009C7B9D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, Biogramm und das satirische Werk, in: Heinz Ludwig Arnold</w:t>
      </w:r>
      <w:r w:rsidRPr="002D0CE8" w:rsidR="009C7B9D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 xml:space="preserve"> (Hrsg.): </w:t>
      </w:r>
      <w:r w:rsidRPr="003C2027" w:rsidR="009C7B9D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Kindlers Literatur Lexikon. 3. Auflage</w:t>
      </w:r>
      <w:r w:rsidRPr="003C2027" w:rsidR="009C7B9D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.</w:t>
      </w:r>
      <w:r w:rsidRPr="003C2027" w:rsidR="009C7B9D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2009</w:t>
      </w:r>
      <w:r w:rsidRPr="003C2027" w:rsidR="009C7B9D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.</w:t>
      </w:r>
    </w:p>
    <w:p xmlns:wp14="http://schemas.microsoft.com/office/word/2010/wordml" w:rsidRPr="003C2027" w:rsidR="009C7B9D" w:rsidP="009C7B9D" w:rsidRDefault="009C7B9D" w14:paraId="0A6959E7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</w:t>
      </w:r>
    </w:p>
    <w:p xmlns:wp14="http://schemas.microsoft.com/office/word/2010/wordml" w:rsidRPr="003C2027" w:rsidR="009C7B9D" w:rsidP="009C7B9D" w:rsidRDefault="009C7B9D" w14:paraId="63B3C1EE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Reza Hajatpour: Würde im Islam, in: 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 xml:space="preserve">P.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Gröschner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 xml:space="preserve">, A.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Kapust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 xml:space="preserve">, O.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Lembcke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 xml:space="preserve"> (Hrsg.): 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Lektionen aus dem Wörterbuch der Würde. Eine Lesereise um den Globus der Menschlichkeit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 xml:space="preserve">. 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Fink-UTB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.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Paderborn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.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2012.</w:t>
      </w:r>
    </w:p>
    <w:p xmlns:wp14="http://schemas.microsoft.com/office/word/2010/wordml" w:rsidRPr="003C2027" w:rsidR="00755A7F" w:rsidP="009C7B9D" w:rsidRDefault="00755A7F" w14:paraId="23DE523C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755A7F" w:rsidP="0F966AF0" w:rsidRDefault="00755A7F" w14:paraId="07C0D848" wp14:textId="70542B35">
      <w:pPr>
        <w:pStyle w:val="xmsonormal"/>
        <w:spacing w:before="0" w:beforeAutospacing="off" w:after="0" w:afterAutospacing="off" w:line="276" w:lineRule="auto"/>
        <w:jc w:val="both"/>
        <w:rPr>
          <w:rFonts w:ascii="Calibri" w:hAnsi="Calibri" w:cs="Calibri"/>
        </w:rPr>
      </w:pPr>
      <w:r w:rsidRPr="0F966AF0" w:rsidR="0F966AF0">
        <w:rPr>
          <w:noProof w:val="0"/>
          <w:sz w:val="24"/>
          <w:szCs w:val="24"/>
          <w:lang w:val="de-DE"/>
        </w:rPr>
        <w:t>Reza Hajatpour</w:t>
      </w:r>
      <w:r w:rsidRPr="0F966AF0" w:rsidR="0F966AF0">
        <w:rPr>
          <w:rFonts w:ascii="Calibri" w:hAnsi="Calibri" w:cs="Calibri"/>
        </w:rPr>
        <w:t xml:space="preserve">: Rezensionsartikel zu Heidrun Eichner, Matthias </w:t>
      </w:r>
      <w:proofErr w:type="spellStart"/>
      <w:r w:rsidRPr="0F966AF0" w:rsidR="0F966AF0">
        <w:rPr>
          <w:rFonts w:ascii="Calibri" w:hAnsi="Calibri" w:cs="Calibri"/>
        </w:rPr>
        <w:t>Perkams</w:t>
      </w:r>
      <w:proofErr w:type="spellEnd"/>
      <w:r w:rsidRPr="0F966AF0" w:rsidR="0F966AF0">
        <w:rPr>
          <w:rFonts w:ascii="Calibri" w:hAnsi="Calibri" w:cs="Calibri"/>
        </w:rPr>
        <w:t>, Christina Schäfer (Hgg.): </w:t>
      </w:r>
      <w:r w:rsidRPr="0F966AF0" w:rsidR="0F966AF0">
        <w:rPr>
          <w:rFonts w:ascii="Calibri" w:hAnsi="Calibri" w:cs="Calibri"/>
          <w:i w:val="1"/>
          <w:iCs w:val="1"/>
        </w:rPr>
        <w:t>Islamische Philosophie im Mittelalter. Ein Handbuch</w:t>
      </w:r>
      <w:r w:rsidRPr="0F966AF0" w:rsidR="0F966AF0">
        <w:rPr>
          <w:rFonts w:ascii="Calibri" w:hAnsi="Calibri" w:cs="Calibri"/>
        </w:rPr>
        <w:t>, Darmstadt: WBG 2013, 400 Seiten, ISBN 978-3534223572. </w:t>
      </w:r>
    </w:p>
    <w:p xmlns:wp14="http://schemas.microsoft.com/office/word/2010/wordml" w:rsidRPr="003C2027" w:rsidR="009C7B9D" w:rsidP="009C7B9D" w:rsidRDefault="009C7B9D" w14:paraId="52E56223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3C2027" w:rsidR="009C7B9D" w:rsidP="009C7B9D" w:rsidRDefault="009C7B9D" w14:paraId="2C0A7EF4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Mitarbeit an der Neubearbeitung des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Ueberweg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: Grundriss der Geschichte der Philosophie. Philosophie in der islamischen Welt, unter der Leitung von Prof. Dr. Ulrich Rudolph (Hrsg.) im Verlag Schwabe &amp; Co. AG in Basel.</w:t>
      </w:r>
    </w:p>
    <w:p xmlns:wp14="http://schemas.microsoft.com/office/word/2010/wordml" w:rsidRPr="003C2027" w:rsidR="007B7204" w:rsidP="009C7B9D" w:rsidRDefault="007B7204" w14:paraId="07547A01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Beyrut Roman" w:hAnsi="Times Beyrut Roman" w:eastAsia="Courier New" w:cs="Times New Roman"/>
          <w:b/>
          <w:sz w:val="24"/>
          <w:szCs w:val="24"/>
          <w:lang w:eastAsia="de-DE"/>
        </w:rPr>
      </w:pPr>
    </w:p>
    <w:p xmlns:wp14="http://schemas.microsoft.com/office/word/2010/wordml" w:rsidR="009C7B9D" w:rsidP="009C7B9D" w:rsidRDefault="009C7B9D" w14:paraId="7E78919C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Beyrut Roman" w:hAnsi="Times Beyrut Roman" w:eastAsia="Courier New" w:cs="Times New Roman"/>
          <w:b/>
          <w:sz w:val="24"/>
          <w:szCs w:val="24"/>
          <w:lang w:eastAsia="de-DE"/>
        </w:rPr>
      </w:pPr>
      <w:r w:rsidRPr="003C2027">
        <w:rPr>
          <w:rFonts w:ascii="Times Beyrut Roman" w:hAnsi="Times Beyrut Roman" w:eastAsia="Courier New" w:cs="Times New Roman"/>
          <w:b/>
          <w:sz w:val="24"/>
          <w:szCs w:val="24"/>
          <w:lang w:eastAsia="de-DE"/>
        </w:rPr>
        <w:t>Übersetzungen, Miszellen, Zeitungsartikel und Interviews:</w:t>
      </w:r>
    </w:p>
    <w:p xmlns:wp14="http://schemas.microsoft.com/office/word/2010/wordml" w:rsidRPr="00F648E0" w:rsidR="002117EE" w:rsidP="008C68A4" w:rsidRDefault="002117EE" w14:paraId="5043CB0F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eastAsia="x-none"/>
        </w:rPr>
      </w:pPr>
    </w:p>
    <w:p xmlns:wp14="http://schemas.microsoft.com/office/word/2010/wordml" w:rsidRPr="00E434AD" w:rsidR="008C68A4" w:rsidP="008C68A4" w:rsidRDefault="008C68A4" w14:paraId="3B374C1E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</w:pP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Saeid </w:t>
      </w:r>
      <w:proofErr w:type="spellStart"/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>Edalatnejad</w:t>
      </w:r>
      <w:proofErr w:type="spellEnd"/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: Zu Geschichte und Gegenwart der Seminare und religiösen Schulen der Schia: Ein Blick von innen, in: Jürgen </w:t>
      </w:r>
      <w:proofErr w:type="spellStart"/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>Boethsch</w:t>
      </w:r>
      <w:proofErr w:type="spellEnd"/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 (Hrsg.): Gott ist das Haus des Wissens. Übertragung ins Deutsche von Reza Hajatpour. Katholische Akademie Trier</w:t>
      </w: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eastAsia="x-none"/>
        </w:rPr>
        <w:t>. 2005,</w:t>
      </w: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 S. 31-44.</w:t>
      </w:r>
    </w:p>
    <w:p xmlns:wp14="http://schemas.microsoft.com/office/word/2010/wordml" w:rsidRPr="00E434AD" w:rsidR="008C68A4" w:rsidP="008C68A4" w:rsidRDefault="008C68A4" w14:paraId="07459315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E434AD" w:rsidR="008C68A4" w:rsidP="008C68A4" w:rsidRDefault="008C68A4" w14:paraId="77B58EB1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</w:pP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>Reza Hajatpour: Die Zweiheit von Glaube und Forschung</w:t>
      </w: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eastAsia="x-none"/>
        </w:rPr>
        <w:t>.</w:t>
      </w: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 Frankfurter Allgemeine Zeitung (FAZ)</w:t>
      </w: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eastAsia="x-none"/>
        </w:rPr>
        <w:t>.</w:t>
      </w: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 21.Okt. 2009, S. N5.</w:t>
      </w:r>
    </w:p>
    <w:p xmlns:wp14="http://schemas.microsoft.com/office/word/2010/wordml" w:rsidRPr="008C68A4" w:rsidR="008C68A4" w:rsidP="009C7B9D" w:rsidRDefault="008C68A4" w14:paraId="6537F28F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Beyrut Roman" w:hAnsi="Times Beyrut Roman" w:eastAsia="Courier New" w:cs="Times New Roman"/>
          <w:sz w:val="24"/>
          <w:szCs w:val="24"/>
          <w:lang w:val="x-none" w:eastAsia="de-DE"/>
        </w:rPr>
      </w:pPr>
    </w:p>
    <w:p xmlns:wp14="http://schemas.microsoft.com/office/word/2010/wordml" w:rsidRPr="003C2027" w:rsidR="008C68A4" w:rsidP="008C68A4" w:rsidRDefault="008C68A4" w14:paraId="33189317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Reza Hajatpour: Der kurze Frühling der Freiheit. Neue Züricher Zeitung (NZZ)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.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25. Juni 2009, S. 23.</w:t>
      </w:r>
    </w:p>
    <w:p xmlns:wp14="http://schemas.microsoft.com/office/word/2010/wordml" w:rsidRPr="003C2027" w:rsidR="008C68A4" w:rsidP="008C68A4" w:rsidRDefault="008C68A4" w14:paraId="6DFB9E20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3C2027" w:rsidR="008C68A4" w:rsidP="008C68A4" w:rsidRDefault="008C68A4" w14:paraId="6F268EA2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Reza Hajatpour: Usurpatoren auf dem Thron des Mahdi. Neue Züricher Zeitung (NZZ). 6. August 2009, S. 35.</w:t>
      </w:r>
    </w:p>
    <w:p xmlns:wp14="http://schemas.microsoft.com/office/word/2010/wordml" w:rsidR="008C68A4" w:rsidP="008C68A4" w:rsidRDefault="008C68A4" w14:paraId="70DF9E56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E434AD" w:rsidR="008C68A4" w:rsidP="008C68A4" w:rsidRDefault="008C68A4" w14:paraId="24943EA2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</w:pP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Reza Hajatpour: Harmonie der Unterschiedlichkeit, in: </w:t>
      </w:r>
      <w:proofErr w:type="spellStart"/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>From</w:t>
      </w:r>
      <w:proofErr w:type="spellEnd"/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 Puma </w:t>
      </w:r>
      <w:proofErr w:type="spellStart"/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>to</w:t>
      </w:r>
      <w:proofErr w:type="spellEnd"/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 PAN. Die Welt des Ralf </w:t>
      </w:r>
      <w:proofErr w:type="spellStart"/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>Metzenmacher</w:t>
      </w:r>
      <w:proofErr w:type="spellEnd"/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>. Ausstellung, 30</w:t>
      </w: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eastAsia="x-none"/>
        </w:rPr>
        <w:t>.</w:t>
      </w: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 August – 18. Oktober 2009. PAN Kunstforum/Emmerich am Rhein, S. 72.75.</w:t>
      </w:r>
    </w:p>
    <w:p xmlns:wp14="http://schemas.microsoft.com/office/word/2010/wordml" w:rsidRPr="00E434AD" w:rsidR="008C68A4" w:rsidP="008C68A4" w:rsidRDefault="008C68A4" w14:paraId="44E871BC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E434AD" w:rsidR="008C68A4" w:rsidP="008C68A4" w:rsidRDefault="008C68A4" w14:paraId="290C9832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eastAsia="x-none"/>
        </w:rPr>
      </w:pP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>Reza Hajatpour: Der kurze Frühling der Freiheit, in: Godehard Ruppert (Hrsg.)</w:t>
      </w: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eastAsia="x-none"/>
        </w:rPr>
        <w:t>:</w:t>
      </w: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 Bamberger Feuilleton. Universität Bamberg Press</w:t>
      </w: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eastAsia="x-none"/>
        </w:rPr>
        <w:t>. 2009,</w:t>
      </w:r>
      <w:r w:rsidRPr="00E434AD"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  <w:t xml:space="preserve"> S. 39-43.</w:t>
      </w:r>
    </w:p>
    <w:p xmlns:wp14="http://schemas.microsoft.com/office/word/2010/wordml" w:rsidR="009C7B9D" w:rsidP="009C7B9D" w:rsidRDefault="009C7B9D" w14:paraId="144A5D23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3C2027" w:rsidR="008C68A4" w:rsidP="008C68A4" w:rsidRDefault="008C68A4" w14:paraId="4C972886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Reza Hajatpour: Harmonie der Differenzen, in: Z. Peter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Pininski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: Orte der Kulturen und Religionen der Welt. Ausstellung Landeshaus des Landschaftsverbandes Westfalen-Lippe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.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Münster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.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22. Februar – 6. April 2010. S. 28 f.</w:t>
      </w:r>
    </w:p>
    <w:p xmlns:wp14="http://schemas.microsoft.com/office/word/2010/wordml" w:rsidR="008C68A4" w:rsidP="008C68A4" w:rsidRDefault="008C68A4" w14:paraId="738610EB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2117EE" w:rsidR="002117EE" w:rsidP="008C68A4" w:rsidRDefault="008C68A4" w14:paraId="43F90D9F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Reza Hajatpour: Gefangen im System. Neue Züricher Zeitung (NZZ)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.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18. Juli 2011.</w:t>
      </w:r>
    </w:p>
    <w:p xmlns:wp14="http://schemas.microsoft.com/office/word/2010/wordml" w:rsidRPr="003C2027" w:rsidR="008C68A4" w:rsidP="008C68A4" w:rsidRDefault="008C68A4" w14:paraId="637805D2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3C2027" w:rsidR="008C68A4" w:rsidP="008C68A4" w:rsidRDefault="008C68A4" w14:paraId="67763C19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Reza Hajatpour: Das iranische Theater. Financial Times Deutschland. 2. März 2012.</w:t>
      </w:r>
    </w:p>
    <w:p xmlns:wp14="http://schemas.microsoft.com/office/word/2010/wordml" w:rsidRPr="003C2027" w:rsidR="008C68A4" w:rsidP="008C68A4" w:rsidRDefault="008C68A4" w14:paraId="463F29E8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3C2027" w:rsidR="008C68A4" w:rsidP="008C68A4" w:rsidRDefault="008C68A4" w14:paraId="37789653" wp14:textId="77777777">
      <w:pPr>
        <w:spacing w:after="0" w:line="240" w:lineRule="auto"/>
        <w:jc w:val="both"/>
        <w:rPr>
          <w:rFonts w:ascii="Times Beyrut Roman" w:hAnsi="Times Beyrut Roman" w:eastAsia="Times New Roman" w:cs="Times New Roman"/>
          <w:sz w:val="24"/>
          <w:szCs w:val="24"/>
          <w:lang w:eastAsia="de-DE"/>
        </w:rPr>
      </w:pPr>
      <w:r w:rsidRPr="003C2027">
        <w:rPr>
          <w:rFonts w:ascii="Times Beyrut Roman" w:hAnsi="Times Beyrut Roman" w:eastAsia="Times New Roman" w:cs="Times New Roman"/>
          <w:bCs/>
          <w:sz w:val="24"/>
          <w:szCs w:val="24"/>
          <w:lang w:eastAsia="de-DE"/>
        </w:rPr>
        <w:t xml:space="preserve">Interview Radio Bayern 5. </w:t>
      </w:r>
      <w:r w:rsidRPr="003C2027">
        <w:rPr>
          <w:rFonts w:ascii="Times Beyrut Roman" w:hAnsi="Times Beyrut Roman" w:eastAsia="Times New Roman" w:cs="Times New Roman"/>
          <w:sz w:val="24"/>
          <w:szCs w:val="24"/>
          <w:lang w:eastAsia="de-DE"/>
        </w:rPr>
        <w:t>Angstprojektionen: Die Furcht vor und die Furcht von Muslimen in Deutschland. 2013.</w:t>
      </w:r>
    </w:p>
    <w:p xmlns:wp14="http://schemas.microsoft.com/office/word/2010/wordml" w:rsidR="008C68A4" w:rsidP="008C68A4" w:rsidRDefault="008C68A4" w14:paraId="3B7B4B86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3C2027" w:rsidR="008C68A4" w:rsidP="008C68A4" w:rsidRDefault="008C68A4" w14:paraId="5F79BD88" wp14:textId="77777777">
      <w:pPr>
        <w:spacing w:after="0" w:line="240" w:lineRule="auto"/>
        <w:jc w:val="both"/>
        <w:rPr>
          <w:rFonts w:ascii="Times Beyrut Roman" w:hAnsi="Times Beyrut Roman" w:eastAsia="Calibri" w:cs="Arial"/>
          <w:bCs/>
          <w:sz w:val="24"/>
          <w:szCs w:val="24"/>
        </w:rPr>
      </w:pPr>
      <w:r w:rsidRPr="003C2027">
        <w:rPr>
          <w:rFonts w:ascii="Times Beyrut Roman" w:hAnsi="Times Beyrut Roman" w:eastAsia="Calibri" w:cs="Arial"/>
          <w:bCs/>
          <w:sz w:val="24"/>
          <w:szCs w:val="24"/>
        </w:rPr>
        <w:t>Interview Radio Bayern 3. Mensch, Otto! Zu Gast: Islamwissenschaftler Prof. Reza Hajatpour. Dezember 2013.</w:t>
      </w:r>
    </w:p>
    <w:p xmlns:wp14="http://schemas.microsoft.com/office/word/2010/wordml" w:rsidRPr="00E17759" w:rsidR="008C68A4" w:rsidP="008C68A4" w:rsidRDefault="008C68A4" w14:paraId="3A0FF5F2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E17759" w:rsidR="008C68A4" w:rsidP="008C68A4" w:rsidRDefault="008C68A4" w14:paraId="5448E5EC" wp14:textId="77777777">
      <w:pPr>
        <w:spacing w:after="0" w:line="240" w:lineRule="auto"/>
        <w:contextualSpacing/>
        <w:jc w:val="both"/>
        <w:outlineLvl w:val="1"/>
        <w:rPr>
          <w:rFonts w:eastAsia="Times New Roman" w:asciiTheme="majorBidi" w:hAnsiTheme="majorBidi" w:cstheme="majorBidi"/>
          <w:sz w:val="24"/>
          <w:szCs w:val="24"/>
        </w:rPr>
      </w:pPr>
      <w:r w:rsidRPr="00E17759">
        <w:rPr>
          <w:rFonts w:eastAsia="Times New Roman" w:asciiTheme="majorBidi" w:hAnsiTheme="majorBidi" w:cstheme="majorBidi"/>
          <w:sz w:val="24"/>
          <w:szCs w:val="24"/>
        </w:rPr>
        <w:t>Die höchste Instanz</w:t>
      </w:r>
      <w:r w:rsidRPr="00E17759">
        <w:rPr>
          <w:rFonts w:eastAsia="Times New Roman" w:asciiTheme="majorBidi" w:hAnsiTheme="majorBidi" w:cstheme="majorBidi"/>
          <w:bCs/>
          <w:sz w:val="24"/>
          <w:szCs w:val="24"/>
        </w:rPr>
        <w:t xml:space="preserve">. </w:t>
      </w:r>
      <w:r w:rsidRPr="00E17759">
        <w:rPr>
          <w:rFonts w:eastAsia="Times New Roman" w:asciiTheme="majorBidi" w:hAnsiTheme="majorBidi" w:cstheme="majorBidi"/>
          <w:sz w:val="24"/>
          <w:szCs w:val="24"/>
        </w:rPr>
        <w:t xml:space="preserve">Ralf </w:t>
      </w:r>
      <w:proofErr w:type="spellStart"/>
      <w:r w:rsidRPr="00E17759">
        <w:rPr>
          <w:rFonts w:eastAsia="Times New Roman" w:asciiTheme="majorBidi" w:hAnsiTheme="majorBidi" w:cstheme="majorBidi"/>
          <w:sz w:val="24"/>
          <w:szCs w:val="24"/>
        </w:rPr>
        <w:t>Grötker</w:t>
      </w:r>
      <w:proofErr w:type="spellEnd"/>
      <w:r w:rsidRPr="00E17759">
        <w:rPr>
          <w:rFonts w:eastAsia="Times New Roman" w:asciiTheme="majorBidi" w:hAnsiTheme="majorBidi" w:cstheme="majorBidi"/>
          <w:sz w:val="24"/>
          <w:szCs w:val="24"/>
        </w:rPr>
        <w:t xml:space="preserve"> im Interview mit Prof. Dr. Reza Hajatpour zum Thema „Metaphysik des Lichts im Denken des Islam“. Oktober 2014.</w:t>
      </w:r>
    </w:p>
    <w:p xmlns:wp14="http://schemas.microsoft.com/office/word/2010/wordml" w:rsidRPr="00E17759" w:rsidR="008C68A4" w:rsidP="008C68A4" w:rsidRDefault="008C68A4" w14:paraId="5630AD66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E17759" w:rsidR="009C7B9D" w:rsidP="009C7B9D" w:rsidRDefault="009C7B9D" w14:paraId="3909789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  <w:r w:rsidRPr="00E17759">
        <w:rPr>
          <w:rFonts w:eastAsia="Times New Roman" w:asciiTheme="majorBidi" w:hAnsiTheme="majorBidi" w:cstheme="majorBidi"/>
          <w:bCs/>
          <w:color w:val="000000"/>
          <w:sz w:val="24"/>
          <w:szCs w:val="24"/>
        </w:rPr>
        <w:t xml:space="preserve">Interviewbeitrag mit dem Titel „Alles auf Anfang“. </w:t>
      </w:r>
      <w:r w:rsidRPr="00E17759">
        <w:rPr>
          <w:rFonts w:eastAsia="Times New Roman" w:asciiTheme="majorBidi" w:hAnsiTheme="majorBidi" w:cstheme="majorBidi"/>
          <w:color w:val="000000"/>
          <w:sz w:val="24"/>
          <w:szCs w:val="24"/>
        </w:rPr>
        <w:t>Spiegel Wissen. 1/2015.</w:t>
      </w:r>
    </w:p>
    <w:p xmlns:wp14="http://schemas.microsoft.com/office/word/2010/wordml" w:rsidRPr="00E17759" w:rsidR="008C68A4" w:rsidP="009C7B9D" w:rsidRDefault="008C68A4" w14:paraId="6182907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color w:val="000000"/>
          <w:sz w:val="24"/>
          <w:szCs w:val="24"/>
        </w:rPr>
      </w:pPr>
    </w:p>
    <w:p xmlns:wp14="http://schemas.microsoft.com/office/word/2010/wordml" w:rsidRPr="00E17759" w:rsidR="00E17759" w:rsidP="00E17759" w:rsidRDefault="004C086C" w14:paraId="0AE1B34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7759">
        <w:rPr>
          <w:rFonts w:asciiTheme="majorBidi" w:hAnsiTheme="majorBidi" w:cstheme="majorBidi"/>
          <w:sz w:val="24"/>
          <w:szCs w:val="24"/>
        </w:rPr>
        <w:t>Über die islamische Revolution Iran:</w:t>
      </w:r>
      <w:r w:rsidRPr="00E17759" w:rsidR="00E17759">
        <w:rPr>
          <w:rFonts w:asciiTheme="majorBidi" w:hAnsiTheme="majorBidi" w:cstheme="majorBidi"/>
          <w:sz w:val="24"/>
          <w:szCs w:val="24"/>
        </w:rPr>
        <w:t xml:space="preserve"> Radiosendung und </w:t>
      </w:r>
      <w:r w:rsidRPr="00E17759">
        <w:rPr>
          <w:rFonts w:asciiTheme="majorBidi" w:hAnsiTheme="majorBidi" w:cstheme="majorBidi"/>
          <w:sz w:val="24"/>
          <w:szCs w:val="24"/>
        </w:rPr>
        <w:t xml:space="preserve"> Artikel zur Sendung: SRF (Schweizer Radio und Fernsehen). 3.02. 2019</w:t>
      </w:r>
    </w:p>
    <w:p xmlns:wp14="http://schemas.microsoft.com/office/word/2010/wordml" w:rsidRPr="00E17759" w:rsidR="00E17759" w:rsidP="00E17759" w:rsidRDefault="00E17759" w14:paraId="2BA226A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xmlns:wp14="http://schemas.microsoft.com/office/word/2010/wordml" w:rsidRPr="00E17759" w:rsidR="004C086C" w:rsidP="00E17759" w:rsidRDefault="00E17759" w14:paraId="52E7BFA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7759">
        <w:rPr>
          <w:rFonts w:asciiTheme="majorBidi" w:hAnsiTheme="majorBidi" w:cstheme="majorBidi"/>
          <w:sz w:val="24"/>
          <w:szCs w:val="24"/>
        </w:rPr>
        <w:t xml:space="preserve">ZDF Heute: Artikel: </w:t>
      </w:r>
      <w:r w:rsidRPr="00E17759" w:rsidR="004C086C">
        <w:rPr>
          <w:rFonts w:asciiTheme="majorBidi" w:hAnsiTheme="majorBidi" w:cstheme="majorBidi"/>
          <w:sz w:val="24"/>
          <w:szCs w:val="24"/>
        </w:rPr>
        <w:t>Vom Despotismus zu religiösem Despotismus Datum:</w:t>
      </w:r>
      <w:r w:rsidRPr="00E17759">
        <w:rPr>
          <w:rFonts w:asciiTheme="majorBidi" w:hAnsiTheme="majorBidi" w:cstheme="majorBidi"/>
          <w:sz w:val="24"/>
          <w:szCs w:val="24"/>
        </w:rPr>
        <w:t xml:space="preserve"> 10.02.2019 </w:t>
      </w:r>
    </w:p>
    <w:p xmlns:wp14="http://schemas.microsoft.com/office/word/2010/wordml" w:rsidRPr="00E17759" w:rsidR="00E17759" w:rsidP="00E17759" w:rsidRDefault="00E17759" w14:paraId="17AD93B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xmlns:wp14="http://schemas.microsoft.com/office/word/2010/wordml" w:rsidRPr="00E17759" w:rsidR="00E17759" w:rsidP="00E17759" w:rsidRDefault="00E17759" w14:paraId="2BF3601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7759">
        <w:rPr>
          <w:rFonts w:asciiTheme="majorBidi" w:hAnsiTheme="majorBidi" w:cstheme="majorBidi"/>
          <w:sz w:val="24"/>
          <w:szCs w:val="24"/>
        </w:rPr>
        <w:t xml:space="preserve">Dialog auf Augenhöhe: Religionen finden zusammen. </w:t>
      </w:r>
      <w:proofErr w:type="spellStart"/>
      <w:r w:rsidRPr="00E17759">
        <w:rPr>
          <w:rFonts w:asciiTheme="majorBidi" w:hAnsiTheme="majorBidi" w:cstheme="majorBidi"/>
          <w:sz w:val="24"/>
          <w:szCs w:val="24"/>
        </w:rPr>
        <w:t>Füther</w:t>
      </w:r>
      <w:proofErr w:type="spellEnd"/>
      <w:r w:rsidRPr="00E17759">
        <w:rPr>
          <w:rFonts w:asciiTheme="majorBidi" w:hAnsiTheme="majorBidi" w:cstheme="majorBidi"/>
          <w:sz w:val="24"/>
          <w:szCs w:val="24"/>
        </w:rPr>
        <w:t xml:space="preserve"> Nachrichten, 12.02.2019</w:t>
      </w:r>
    </w:p>
    <w:p xmlns:wp14="http://schemas.microsoft.com/office/word/2010/wordml" w:rsidRPr="00E17759" w:rsidR="009C7B9D" w:rsidP="009C7B9D" w:rsidRDefault="009C7B9D" w14:paraId="0DE4B5B7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E17759" w:rsidR="009C7B9D" w:rsidP="009C7B9D" w:rsidRDefault="009C7B9D" w14:paraId="66204FF1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E17759" w:rsidR="00F57FB7" w:rsidP="00F57FB7" w:rsidRDefault="008C68A4" w14:paraId="47638F0C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Theme="majorBidi" w:hAnsiTheme="majorBidi" w:cstheme="majorBidi"/>
          <w:sz w:val="24"/>
          <w:szCs w:val="24"/>
        </w:rPr>
      </w:pPr>
      <w:r w:rsidRPr="00E17759">
        <w:rPr>
          <w:rFonts w:asciiTheme="majorBidi" w:hAnsiTheme="majorBidi" w:cstheme="majorBidi"/>
          <w:sz w:val="24"/>
          <w:szCs w:val="24"/>
        </w:rPr>
        <w:t xml:space="preserve"> </w:t>
      </w:r>
      <w:r w:rsidRPr="00E17759" w:rsidR="00F57FB7">
        <w:rPr>
          <w:rFonts w:asciiTheme="majorBidi" w:hAnsiTheme="majorBidi" w:cstheme="majorBidi"/>
          <w:sz w:val="24"/>
          <w:szCs w:val="24"/>
        </w:rPr>
        <w:t xml:space="preserve">„Die schiitische Welt aus dem Blickwinkel der Kamera“ von </w:t>
      </w:r>
      <w:proofErr w:type="spellStart"/>
      <w:r w:rsidRPr="00E17759" w:rsidR="00F57FB7">
        <w:rPr>
          <w:rFonts w:asciiTheme="majorBidi" w:hAnsiTheme="majorBidi" w:cstheme="majorBidi"/>
          <w:sz w:val="24"/>
          <w:szCs w:val="24"/>
        </w:rPr>
        <w:t>Sayyed</w:t>
      </w:r>
      <w:proofErr w:type="spellEnd"/>
      <w:r w:rsidRPr="00E17759" w:rsidR="00F57FB7">
        <w:rPr>
          <w:rFonts w:asciiTheme="majorBidi" w:hAnsiTheme="majorBidi" w:cstheme="majorBidi"/>
          <w:sz w:val="24"/>
          <w:szCs w:val="24"/>
        </w:rPr>
        <w:t xml:space="preserve"> Ali </w:t>
      </w:r>
      <w:proofErr w:type="spellStart"/>
      <w:r w:rsidRPr="00E17759" w:rsidR="00F57FB7">
        <w:rPr>
          <w:rFonts w:asciiTheme="majorBidi" w:hAnsiTheme="majorBidi" w:cstheme="majorBidi"/>
          <w:sz w:val="24"/>
          <w:szCs w:val="24"/>
        </w:rPr>
        <w:t>Moujani</w:t>
      </w:r>
      <w:proofErr w:type="spellEnd"/>
      <w:r w:rsidRPr="00E17759" w:rsidR="00F57FB7">
        <w:rPr>
          <w:rFonts w:asciiTheme="majorBidi" w:hAnsiTheme="majorBidi" w:cstheme="majorBidi"/>
          <w:sz w:val="24"/>
          <w:szCs w:val="24"/>
        </w:rPr>
        <w:t>, übertragen vom Persischen ins Deutsche von Hajatpour; Reza in: Saeid Edalatnejad und Boris von Brauchitsch (Hrsg. 2017) Einsicht – Drei Reisen in die innerste Welt des schiitischen Islam. Fotographie von Hans George Berger. Kehrer Heidelberg Berlin, S.33-38.</w:t>
      </w:r>
    </w:p>
    <w:p xmlns:wp14="http://schemas.microsoft.com/office/word/2010/wordml" w:rsidRPr="00E17759" w:rsidR="00F57FB7" w:rsidP="00F57FB7" w:rsidRDefault="00F57FB7" w14:paraId="2DBF0D7D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Theme="majorBidi" w:hAnsiTheme="majorBidi" w:cstheme="majorBidi"/>
          <w:sz w:val="24"/>
          <w:szCs w:val="24"/>
        </w:rPr>
      </w:pPr>
    </w:p>
    <w:p xmlns:wp14="http://schemas.microsoft.com/office/word/2010/wordml" w:rsidRPr="00F648E0" w:rsidR="00F648E0" w:rsidP="009C7B9D" w:rsidRDefault="00F57FB7" w14:paraId="0AE139C1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asciiTheme="majorBidi" w:hAnsiTheme="majorBidi" w:cstheme="majorBidi"/>
          <w:color w:val="000000"/>
          <w:sz w:val="24"/>
          <w:szCs w:val="24"/>
          <w:lang w:eastAsia="x-none"/>
        </w:rPr>
      </w:pPr>
      <w:r w:rsidRPr="00E17759">
        <w:rPr>
          <w:rFonts w:asciiTheme="majorBidi" w:hAnsiTheme="majorBidi" w:cstheme="majorBidi"/>
          <w:sz w:val="24"/>
          <w:szCs w:val="24"/>
        </w:rPr>
        <w:t>„Ein Überblick über Lehr- und Erziehungssystem der schiitischen Geistlichkeit“ von Saeid Edalatnejad, übertragen vom Persischen ins Deutsche von Hajatpour; Reza in: Saeid Edalatnejad und Boris von Brauchitsch (Hrsg. 2017) Einsicht – Drei Reisen in die innerste Welt des schiitischen Islam. Fotographie von Hans George Berger. Kehrer Heidelberg Berlin, S. 41-46.</w:t>
      </w:r>
    </w:p>
    <w:p xmlns:wp14="http://schemas.microsoft.com/office/word/2010/wordml" w:rsidRPr="003C2027" w:rsidR="002117EE" w:rsidP="009C7B9D" w:rsidRDefault="002117EE" w14:paraId="6B62F1B3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  <w:bookmarkStart w:name="_GoBack" w:id="0"/>
      <w:bookmarkEnd w:id="0"/>
    </w:p>
    <w:p xmlns:wp14="http://schemas.microsoft.com/office/word/2010/wordml" w:rsidRPr="003C2027" w:rsidR="009C7B9D" w:rsidP="009C7B9D" w:rsidRDefault="009C7B9D" w14:paraId="545FFC34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  <w:r w:rsidRPr="003C2027"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  <w:t>Rezensionen:</w:t>
      </w:r>
    </w:p>
    <w:p xmlns:wp14="http://schemas.microsoft.com/office/word/2010/wordml" w:rsidRPr="003C2027" w:rsidR="009C7B9D" w:rsidP="009C7B9D" w:rsidRDefault="009C7B9D" w14:paraId="02F2C34E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0C9BECA8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Reza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Hajatpour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: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Abdolamir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Johardelvari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: Iranische Philosophie von Zarathustra bis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Sabzewari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. Verlag Peter Lang. Frankfurt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,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1994, in: Die Welt des Islams 38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.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1998/ 2, S. 267– 270.</w:t>
      </w:r>
    </w:p>
    <w:p xmlns:wp14="http://schemas.microsoft.com/office/word/2010/wordml" w:rsidRPr="003C2027" w:rsidR="009C7B9D" w:rsidP="009C7B9D" w:rsidRDefault="009C7B9D" w14:paraId="680A4E5D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</w:pPr>
    </w:p>
    <w:p xmlns:wp14="http://schemas.microsoft.com/office/word/2010/wordml" w:rsidRPr="003C2027" w:rsidR="009C7B9D" w:rsidP="009C7B9D" w:rsidRDefault="009C7B9D" w14:paraId="547E4D3C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en-GB"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Reza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Hajatpour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: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Sayyed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M. Bagher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Talgharizadeh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: Die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RisÁla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fÐ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l-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ÎudÙ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× (Die Abhandlung über die Entstehung) v.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Ñadr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ad-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DÐn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MuÎammad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IbrÁhÐm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aš-ŠÐrÁzÐ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(1572-1640). 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en-GB" w:eastAsia="x-none"/>
        </w:rPr>
        <w:t>Berlin. 2000, in: Der Islam, Bd. 80. 2003, S. 334-337.</w:t>
      </w:r>
    </w:p>
    <w:p xmlns:wp14="http://schemas.microsoft.com/office/word/2010/wordml" w:rsidRPr="003C2027" w:rsidR="009C7B9D" w:rsidP="009C7B9D" w:rsidRDefault="009C7B9D" w14:paraId="19219836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val="en-GB" w:eastAsia="x-none"/>
        </w:rPr>
      </w:pPr>
    </w:p>
    <w:p xmlns:wp14="http://schemas.microsoft.com/office/word/2010/wordml" w:rsidRPr="003C2027" w:rsidR="009C7B9D" w:rsidP="009C7B9D" w:rsidRDefault="009C7B9D" w14:paraId="49835941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en-GB" w:eastAsia="x-none"/>
        </w:rPr>
        <w:t xml:space="preserve">Reza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en-GB" w:eastAsia="x-none"/>
        </w:rPr>
        <w:t>Hajatpour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en-GB" w:eastAsia="x-none"/>
        </w:rPr>
        <w:t xml:space="preserve">: Nasir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en-GB" w:eastAsia="x-none"/>
        </w:rPr>
        <w:t>Khusraw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en-GB" w:eastAsia="x-none"/>
        </w:rPr>
        <w:t xml:space="preserve">: Knowledge and Liberation. A Treatise on Philosophical Theology. : I. B. Tauris London </w:t>
      </w:r>
      <w:proofErr w:type="spellStart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en-GB" w:eastAsia="x-none"/>
        </w:rPr>
        <w:t>und</w:t>
      </w:r>
      <w:proofErr w:type="spellEnd"/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en-GB" w:eastAsia="x-none"/>
        </w:rPr>
        <w:t xml:space="preserve"> New York. 1998, in: Der Islam, Bd. 78. 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2001, S. 185-187.</w:t>
      </w:r>
    </w:p>
    <w:p xmlns:wp14="http://schemas.microsoft.com/office/word/2010/wordml" w:rsidRPr="003C2027" w:rsidR="009C7B9D" w:rsidP="009C7B9D" w:rsidRDefault="009C7B9D" w14:paraId="296FEF7D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4710F17F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Reza Hajatpour: Lukas Wick: Islam und Verfassungsstaat. Theologische Versöhnung mit der politischen Moderne? Würzburg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,</w:t>
      </w: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 xml:space="preserve"> 2009, in:  </w:t>
      </w:r>
      <w:r w:rsidRPr="003C2027">
        <w:rPr>
          <w:rFonts w:ascii="Times Beyrut Roman" w:hAnsi="Times Beyrut Roman" w:eastAsia="Times New Roman" w:cs="Arial"/>
          <w:bCs/>
          <w:color w:val="000000"/>
          <w:sz w:val="24"/>
          <w:szCs w:val="24"/>
          <w:lang w:val="x-none" w:eastAsia="x-none"/>
        </w:rPr>
        <w:t>Orient. Deutsche Zeitschrift für Politik, Wirtschaft und Kultur des Orients. III/2010, 51. Jahrgang. Berlin, S. 82-84</w:t>
      </w:r>
    </w:p>
    <w:p xmlns:wp14="http://schemas.microsoft.com/office/word/2010/wordml" w:rsidRPr="003C2027" w:rsidR="009C7B9D" w:rsidP="009C7B9D" w:rsidRDefault="009C7B9D" w14:paraId="7194DBDC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2BB012FF" wp14:textId="77777777">
      <w:pPr>
        <w:spacing w:after="0" w:line="240" w:lineRule="auto"/>
        <w:jc w:val="both"/>
        <w:rPr>
          <w:rFonts w:ascii="Times Beyrut Roman" w:hAnsi="Times Beyrut Roman" w:eastAsia="Times New Roman" w:cs="Arial"/>
          <w:sz w:val="24"/>
          <w:szCs w:val="24"/>
          <w:lang w:eastAsia="de-DE"/>
        </w:rPr>
      </w:pPr>
      <w:r w:rsidRPr="003C2027">
        <w:rPr>
          <w:rFonts w:ascii="Times Beyrut Roman" w:hAnsi="Times Beyrut Roman" w:eastAsia="Times New Roman" w:cs="Arial"/>
          <w:bCs/>
          <w:sz w:val="24"/>
          <w:szCs w:val="24"/>
          <w:lang w:eastAsia="de-DE"/>
        </w:rPr>
        <w:lastRenderedPageBreak/>
        <w:t xml:space="preserve">Reza Hajatpour: Islamische Geistesgeschichte: </w:t>
      </w:r>
      <w:r w:rsidRPr="003C2027">
        <w:rPr>
          <w:rFonts w:ascii="Times Beyrut Roman" w:hAnsi="Times Beyrut Roman" w:eastAsia="Times New Roman" w:cs="Arial"/>
          <w:i/>
          <w:iCs/>
          <w:sz w:val="24"/>
          <w:szCs w:val="24"/>
          <w:lang w:eastAsia="de-DE"/>
        </w:rPr>
        <w:t xml:space="preserve">Fathi </w:t>
      </w:r>
      <w:proofErr w:type="spellStart"/>
      <w:r w:rsidRPr="003C2027">
        <w:rPr>
          <w:rFonts w:ascii="Times Beyrut Roman" w:hAnsi="Times Beyrut Roman" w:eastAsia="Times New Roman" w:cs="Arial"/>
          <w:i/>
          <w:iCs/>
          <w:sz w:val="24"/>
          <w:szCs w:val="24"/>
          <w:lang w:eastAsia="de-DE"/>
        </w:rPr>
        <w:t>Triki</w:t>
      </w:r>
      <w:proofErr w:type="spellEnd"/>
      <w:r w:rsidRPr="003C2027">
        <w:rPr>
          <w:rFonts w:ascii="Times Beyrut Roman" w:hAnsi="Times Beyrut Roman" w:eastAsia="Times New Roman" w:cs="Arial"/>
          <w:sz w:val="24"/>
          <w:szCs w:val="24"/>
          <w:lang w:eastAsia="de-DE"/>
        </w:rPr>
        <w:t xml:space="preserve">: Demokratische Ethik und Politik im Islam. Arabische Studien zur transkulturellen Philosophie des Zusammenlebens. </w:t>
      </w:r>
      <w:proofErr w:type="spellStart"/>
      <w:r w:rsidRPr="003C2027">
        <w:rPr>
          <w:rFonts w:ascii="Times Beyrut Roman" w:hAnsi="Times Beyrut Roman" w:eastAsia="Times New Roman" w:cs="Arial"/>
          <w:sz w:val="24"/>
          <w:szCs w:val="24"/>
          <w:lang w:eastAsia="de-DE"/>
        </w:rPr>
        <w:t>Velbrück</w:t>
      </w:r>
      <w:proofErr w:type="spellEnd"/>
      <w:r w:rsidRPr="003C2027">
        <w:rPr>
          <w:rFonts w:ascii="Times Beyrut Roman" w:hAnsi="Times Beyrut Roman" w:eastAsia="Times New Roman" w:cs="Arial"/>
          <w:sz w:val="24"/>
          <w:szCs w:val="24"/>
          <w:lang w:eastAsia="de-DE"/>
        </w:rPr>
        <w:t xml:space="preserve">, </w:t>
      </w:r>
      <w:proofErr w:type="spellStart"/>
      <w:r w:rsidRPr="003C2027">
        <w:rPr>
          <w:rFonts w:ascii="Times Beyrut Roman" w:hAnsi="Times Beyrut Roman" w:eastAsia="Times New Roman" w:cs="Arial"/>
          <w:sz w:val="24"/>
          <w:szCs w:val="24"/>
          <w:lang w:eastAsia="de-DE"/>
        </w:rPr>
        <w:t>Weilerswist</w:t>
      </w:r>
      <w:proofErr w:type="spellEnd"/>
      <w:r w:rsidRPr="003C2027">
        <w:rPr>
          <w:rFonts w:ascii="Times Beyrut Roman" w:hAnsi="Times Beyrut Roman" w:eastAsia="Times New Roman" w:cs="Arial"/>
          <w:sz w:val="24"/>
          <w:szCs w:val="24"/>
          <w:lang w:eastAsia="de-DE"/>
        </w:rPr>
        <w:t xml:space="preserve">. 2011, S. 224 f..,  in: Neue Politische Literatur. Heft 3/12. Darmstadt. 2012. </w:t>
      </w:r>
    </w:p>
    <w:p xmlns:wp14="http://schemas.microsoft.com/office/word/2010/wordml" w:rsidRPr="003C2027" w:rsidR="009C7B9D" w:rsidP="009C7B9D" w:rsidRDefault="009C7B9D" w14:paraId="769D0D3C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54CD245A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4D914539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  <w:r w:rsidRPr="003C2027"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  <w:t>Belletristik:</w:t>
      </w:r>
    </w:p>
    <w:p xmlns:wp14="http://schemas.microsoft.com/office/word/2010/wordml" w:rsidRPr="003C2027" w:rsidR="009C7B9D" w:rsidP="009C7B9D" w:rsidRDefault="009C7B9D" w14:paraId="1231BE67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266466D9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val="x-none" w:eastAsia="x-none"/>
        </w:rPr>
        <w:t>Reza Hajatpour: Der brennende Geschmack der Freiheit. Frankfurt/M. 2005.</w:t>
      </w:r>
    </w:p>
    <w:p xmlns:wp14="http://schemas.microsoft.com/office/word/2010/wordml" w:rsidRPr="003C2027" w:rsidR="009C7B9D" w:rsidP="009C7B9D" w:rsidRDefault="009C7B9D" w14:paraId="36FEB5B0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08861C50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Reza Hajatpour: Tage der Liebe im Schatten der Erinnerung. Leipzig. 2011.</w:t>
      </w:r>
    </w:p>
    <w:p xmlns:wp14="http://schemas.microsoft.com/office/word/2010/wordml" w:rsidRPr="003C2027" w:rsidR="009C7B9D" w:rsidP="009C7B9D" w:rsidRDefault="009C7B9D" w14:paraId="30D7AA69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4CB07E0A" wp14:textId="777777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</w:pPr>
      <w:r w:rsidRPr="003C2027">
        <w:rPr>
          <w:rFonts w:ascii="Times Beyrut Roman" w:hAnsi="Times Beyrut Roman" w:eastAsia="Times New Roman" w:cs="Times New Roman"/>
          <w:color w:val="000000"/>
          <w:sz w:val="24"/>
          <w:szCs w:val="24"/>
          <w:lang w:eastAsia="x-none"/>
        </w:rPr>
        <w:t>Reza Hajatpour: Der schmale Weg. Leipzig. 2013.</w:t>
      </w:r>
    </w:p>
    <w:p xmlns:wp14="http://schemas.microsoft.com/office/word/2010/wordml" w:rsidRPr="003C2027" w:rsidR="009C7B9D" w:rsidP="009C7B9D" w:rsidRDefault="009C7B9D" w14:paraId="7196D064" wp14:textId="77777777">
      <w:pPr>
        <w:autoSpaceDE w:val="0"/>
        <w:autoSpaceDN w:val="0"/>
        <w:adjustRightInd w:val="0"/>
        <w:spacing w:after="113" w:line="240" w:lineRule="auto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34FF1C98" wp14:textId="77777777">
      <w:pPr>
        <w:autoSpaceDE w:val="0"/>
        <w:autoSpaceDN w:val="0"/>
        <w:adjustRightInd w:val="0"/>
        <w:spacing w:after="113" w:line="240" w:lineRule="auto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6D072C0D" wp14:textId="77777777">
      <w:pPr>
        <w:autoSpaceDE w:val="0"/>
        <w:autoSpaceDN w:val="0"/>
        <w:adjustRightInd w:val="0"/>
        <w:spacing w:after="113" w:line="240" w:lineRule="auto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48A21919" wp14:textId="77777777">
      <w:pPr>
        <w:autoSpaceDE w:val="0"/>
        <w:autoSpaceDN w:val="0"/>
        <w:adjustRightInd w:val="0"/>
        <w:spacing w:after="113" w:line="240" w:lineRule="auto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6BD18F9B" wp14:textId="77777777">
      <w:pPr>
        <w:autoSpaceDE w:val="0"/>
        <w:autoSpaceDN w:val="0"/>
        <w:adjustRightInd w:val="0"/>
        <w:spacing w:after="113" w:line="240" w:lineRule="auto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238601FE" wp14:textId="77777777">
      <w:pPr>
        <w:autoSpaceDE w:val="0"/>
        <w:autoSpaceDN w:val="0"/>
        <w:adjustRightInd w:val="0"/>
        <w:spacing w:after="113" w:line="240" w:lineRule="auto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C7B9D" w:rsidP="009C7B9D" w:rsidRDefault="009C7B9D" w14:paraId="0F3CABC7" wp14:textId="77777777">
      <w:pPr>
        <w:autoSpaceDE w:val="0"/>
        <w:autoSpaceDN w:val="0"/>
        <w:adjustRightInd w:val="0"/>
        <w:spacing w:after="113" w:line="240" w:lineRule="auto"/>
        <w:textAlignment w:val="center"/>
        <w:rPr>
          <w:rFonts w:ascii="Times Beyrut Roman" w:hAnsi="Times Beyrut Roman" w:eastAsia="Times New Roman" w:cs="Times New Roman"/>
          <w:b/>
          <w:color w:val="000000"/>
          <w:sz w:val="24"/>
          <w:szCs w:val="24"/>
          <w:lang w:eastAsia="x-none"/>
        </w:rPr>
      </w:pPr>
    </w:p>
    <w:p xmlns:wp14="http://schemas.microsoft.com/office/word/2010/wordml" w:rsidRPr="003C2027" w:rsidR="009247C6" w:rsidRDefault="007D5468" w14:paraId="5B08B5D1" wp14:textId="77777777">
      <w:pPr>
        <w:rPr>
          <w:sz w:val="24"/>
          <w:szCs w:val="24"/>
        </w:rPr>
      </w:pPr>
    </w:p>
    <w:sectPr w:rsidRPr="003C2027" w:rsidR="009247C6">
      <w:footerReference w:type="default" r:id="rId8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D5468" w:rsidP="009C7B9D" w:rsidRDefault="007D5468" w14:paraId="0AD9C6F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D5468" w:rsidP="009C7B9D" w:rsidRDefault="007D5468" w14:paraId="4B1F511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MixOffice">
    <w:altName w:val="TheMixOffi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Beyrut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290157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9C7B9D" w:rsidRDefault="009C7B9D" w14:paraId="4A1697B0" wp14:textId="7777777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8E0">
          <w:rPr>
            <w:noProof/>
          </w:rPr>
          <w:t>6</w:t>
        </w:r>
        <w:r>
          <w:fldChar w:fldCharType="end"/>
        </w:r>
      </w:p>
    </w:sdtContent>
  </w:sdt>
  <w:p xmlns:wp14="http://schemas.microsoft.com/office/word/2010/wordml" w:rsidR="009C7B9D" w:rsidRDefault="009C7B9D" w14:paraId="16DEB4AB" wp14:textId="777777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D5468" w:rsidP="009C7B9D" w:rsidRDefault="007D5468" w14:paraId="65F9C3D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D5468" w:rsidP="009C7B9D" w:rsidRDefault="007D5468" w14:paraId="5023141B" wp14:textId="77777777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AZSWDDYB3yCgQh" id="KEqqW9T2"/>
  </int:Manifest>
  <int:Observations>
    <int:Content id="KEqqW9T2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71B"/>
    <w:multiLevelType w:val="hybridMultilevel"/>
    <w:tmpl w:val="30D823C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F3A3730"/>
    <w:multiLevelType w:val="hybridMultilevel"/>
    <w:tmpl w:val="CED2D77C"/>
    <w:lvl w:ilvl="0" w:tplc="51127D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n-G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36D5130"/>
    <w:multiLevelType w:val="hybridMultilevel"/>
    <w:tmpl w:val="8F321338"/>
    <w:lvl w:ilvl="0" w:tplc="04070001">
      <w:start w:val="1"/>
      <w:numFmt w:val="bullet"/>
      <w:lvlText w:val=""/>
      <w:lvlJc w:val="left"/>
      <w:pPr>
        <w:ind w:left="171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hideSpellingErrors/>
  <w:hideGrammaticalError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9D"/>
    <w:rsid w:val="000C1B1A"/>
    <w:rsid w:val="00117C91"/>
    <w:rsid w:val="001F6ABB"/>
    <w:rsid w:val="002117EE"/>
    <w:rsid w:val="0022358B"/>
    <w:rsid w:val="00291A62"/>
    <w:rsid w:val="002B7080"/>
    <w:rsid w:val="002D0CE8"/>
    <w:rsid w:val="00324708"/>
    <w:rsid w:val="003C2027"/>
    <w:rsid w:val="004C086C"/>
    <w:rsid w:val="00536710"/>
    <w:rsid w:val="0056315E"/>
    <w:rsid w:val="006A77C7"/>
    <w:rsid w:val="00750B53"/>
    <w:rsid w:val="00755A7F"/>
    <w:rsid w:val="00777509"/>
    <w:rsid w:val="007B7204"/>
    <w:rsid w:val="007D5468"/>
    <w:rsid w:val="00834CB7"/>
    <w:rsid w:val="008C68A4"/>
    <w:rsid w:val="0098425F"/>
    <w:rsid w:val="009C7B9D"/>
    <w:rsid w:val="00A55DBB"/>
    <w:rsid w:val="00C966C6"/>
    <w:rsid w:val="00CB4FB8"/>
    <w:rsid w:val="00D66C70"/>
    <w:rsid w:val="00E17759"/>
    <w:rsid w:val="00E434AD"/>
    <w:rsid w:val="00E6389E"/>
    <w:rsid w:val="00E82B74"/>
    <w:rsid w:val="00E91B32"/>
    <w:rsid w:val="00F2267F"/>
    <w:rsid w:val="00F57FB7"/>
    <w:rsid w:val="00F648E0"/>
    <w:rsid w:val="00FC4A7C"/>
    <w:rsid w:val="00FC69A8"/>
    <w:rsid w:val="00FD4B4D"/>
    <w:rsid w:val="0289C736"/>
    <w:rsid w:val="07AC894D"/>
    <w:rsid w:val="0F966AF0"/>
    <w:rsid w:val="2801774C"/>
    <w:rsid w:val="2A77B48A"/>
    <w:rsid w:val="559EE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E9D8"/>
  <w15:docId w15:val="{DEE9F263-A34E-42F6-BEEF-B9796BD82D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C086C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7B9D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9C7B9D"/>
  </w:style>
  <w:style w:type="paragraph" w:styleId="Fuzeile">
    <w:name w:val="footer"/>
    <w:basedOn w:val="Standard"/>
    <w:link w:val="FuzeileZchn"/>
    <w:uiPriority w:val="99"/>
    <w:unhideWhenUsed/>
    <w:rsid w:val="009C7B9D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9C7B9D"/>
  </w:style>
  <w:style w:type="paragraph" w:styleId="Listenabsatz">
    <w:name w:val="List Paragraph"/>
    <w:basedOn w:val="Standard"/>
    <w:link w:val="ListenabsatzZchn"/>
    <w:uiPriority w:val="34"/>
    <w:qFormat/>
    <w:rsid w:val="0056315E"/>
    <w:pPr>
      <w:spacing w:after="200" w:line="276" w:lineRule="auto"/>
      <w:ind w:left="720"/>
      <w:contextualSpacing/>
    </w:pPr>
  </w:style>
  <w:style w:type="character" w:styleId="ListenabsatzZchn" w:customStyle="1">
    <w:name w:val="Listenabsatz Zchn"/>
    <w:link w:val="Listenabsatz"/>
    <w:uiPriority w:val="34"/>
    <w:rsid w:val="0056315E"/>
  </w:style>
  <w:style w:type="paragraph" w:styleId="Default" w:customStyle="1">
    <w:name w:val="Default"/>
    <w:rsid w:val="00E91B32"/>
    <w:pPr>
      <w:autoSpaceDE w:val="0"/>
      <w:autoSpaceDN w:val="0"/>
      <w:adjustRightInd w:val="0"/>
      <w:spacing w:after="0" w:line="240" w:lineRule="auto"/>
    </w:pPr>
    <w:rPr>
      <w:rFonts w:ascii="TheMixOffice" w:hAnsi="TheMixOffice" w:eastAsia="Calibri" w:cs="TheMixOffice"/>
      <w:color w:val="000000"/>
      <w:sz w:val="24"/>
      <w:szCs w:val="24"/>
    </w:rPr>
  </w:style>
  <w:style w:type="paragraph" w:styleId="xmsonormal" w:customStyle="1">
    <w:name w:val="x_msonormal"/>
    <w:basedOn w:val="Standard"/>
    <w:rsid w:val="00D66C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apple-converted-space" w:customStyle="1">
    <w:name w:val="apple-converted-space"/>
    <w:basedOn w:val="Absatz-Standardschriftart"/>
    <w:rsid w:val="00D66C70"/>
  </w:style>
  <w:style w:type="character" w:styleId="berschrift1Zchn" w:customStyle="1">
    <w:name w:val="Überschrift 1 Zchn"/>
    <w:basedOn w:val="Absatz-Standardschriftart"/>
    <w:link w:val="berschrift1"/>
    <w:uiPriority w:val="9"/>
    <w:rsid w:val="004C086C"/>
    <w:rPr>
      <w:rFonts w:ascii="Times New Roman" w:hAnsi="Times New Roman" w:eastAsia="Times New Roman" w:cs="Times New Roman"/>
      <w:b/>
      <w:bCs/>
      <w:kern w:val="36"/>
      <w:sz w:val="48"/>
      <w:szCs w:val="4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C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7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7B9D"/>
  </w:style>
  <w:style w:type="paragraph" w:styleId="Fuzeile">
    <w:name w:val="footer"/>
    <w:basedOn w:val="Standard"/>
    <w:link w:val="FuzeileZchn"/>
    <w:uiPriority w:val="99"/>
    <w:unhideWhenUsed/>
    <w:rsid w:val="009C7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7B9D"/>
  </w:style>
  <w:style w:type="paragraph" w:styleId="Listenabsatz">
    <w:name w:val="List Paragraph"/>
    <w:basedOn w:val="Standard"/>
    <w:link w:val="ListenabsatzZchn"/>
    <w:uiPriority w:val="34"/>
    <w:qFormat/>
    <w:rsid w:val="0056315E"/>
    <w:pPr>
      <w:spacing w:after="200" w:line="276" w:lineRule="auto"/>
      <w:ind w:left="720"/>
      <w:contextualSpacing/>
    </w:pPr>
  </w:style>
  <w:style w:type="character" w:customStyle="1" w:styleId="ListenabsatzZchn">
    <w:name w:val="Listenabsatz Zchn"/>
    <w:link w:val="Listenabsatz"/>
    <w:uiPriority w:val="34"/>
    <w:rsid w:val="0056315E"/>
  </w:style>
  <w:style w:type="paragraph" w:customStyle="1" w:styleId="Default">
    <w:name w:val="Default"/>
    <w:rsid w:val="00E91B32"/>
    <w:pPr>
      <w:autoSpaceDE w:val="0"/>
      <w:autoSpaceDN w:val="0"/>
      <w:adjustRightInd w:val="0"/>
      <w:spacing w:after="0" w:line="240" w:lineRule="auto"/>
    </w:pPr>
    <w:rPr>
      <w:rFonts w:ascii="TheMixOffice" w:eastAsia="Calibri" w:hAnsi="TheMixOffice" w:cs="TheMixOffice"/>
      <w:color w:val="000000"/>
      <w:sz w:val="24"/>
      <w:szCs w:val="24"/>
    </w:rPr>
  </w:style>
  <w:style w:type="paragraph" w:customStyle="1" w:styleId="xmsonormal">
    <w:name w:val="x_msonormal"/>
    <w:basedOn w:val="Standard"/>
    <w:rsid w:val="00D6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D66C70"/>
  </w:style>
  <w:style w:type="character" w:customStyle="1" w:styleId="berschrift1Zchn">
    <w:name w:val="Überschrift 1 Zchn"/>
    <w:basedOn w:val="Absatz-Standardschriftart"/>
    <w:link w:val="berschrift1"/>
    <w:uiPriority w:val="9"/>
    <w:rsid w:val="004C086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77321f6f721a4296" /><Relationship Type="http://schemas.microsoft.com/office/2019/09/relationships/intelligence" Target="intelligence.xml" Id="R5acd127d733a427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d4313-434e-4cbc-9ad3-fe10fca05c27}"/>
      </w:docPartPr>
      <w:docPartBody>
        <w:p w14:paraId="41262B6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Friedrich-Alexander-Universität Erlangen-Nürnberg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ddm okm</dc:creator>
  <keywords/>
  <dc:description/>
  <lastModifiedBy>ddm okm</lastModifiedBy>
  <revision>14</revision>
  <dcterms:created xsi:type="dcterms:W3CDTF">2022-02-11T07:40:48.5391960Z</dcterms:created>
  <dcterms:modified xsi:type="dcterms:W3CDTF">2022-02-11T08:29:00.9320455Z</dcterms:modified>
</coreProperties>
</file>